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Style w:val="Tabellenraster"/>
        <w:tblW w:w="963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530"/>
        <w:gridCol w:w="568"/>
        <w:gridCol w:w="4536"/>
      </w:tblGrid>
      <w:tr>
        <w:trPr/>
        <w:tc>
          <w:tcPr>
            <w:tcW w:w="4530" w:type="dxa"/>
            <w:tcBorders>
              <w:top w:val="nil"/>
              <w:left w:val="nil"/>
              <w:bottom w:val="nil"/>
              <w:right w:val="nil"/>
            </w:tcBorders>
          </w:tcPr>
          <w:p>
            <w:pPr>
              <w:pStyle w:val="Western"/>
              <w:widowControl/>
              <w:spacing w:lineRule="auto" w:line="240" w:before="0" w:after="0"/>
              <w:jc w:val="both"/>
              <w:rPr>
                <w:b/>
                <w:b/>
                <w:bCs/>
              </w:rPr>
            </w:pPr>
            <w:r>
              <w:rPr>
                <w:rFonts w:eastAsia="Times New Roman" w:cs="Arial" w:ascii="Arial" w:hAnsi="Arial"/>
                <w:b/>
                <w:bCs/>
                <w:kern w:val="0"/>
                <w:sz w:val="20"/>
                <w:szCs w:val="20"/>
                <w:lang w:val="de-DE" w:eastAsia="de-DE" w:bidi="ar-SA"/>
              </w:rPr>
              <w:t>Einladungsschreiben zum öffentlichen Auswahlverfahren gemäß Art. 47 des L.G. Nr. 13/1997 für den Verkauf von Liegenschaften im Gewerbegebiet „Föhrenhain“</w:t>
            </w:r>
          </w:p>
        </w:tc>
        <w:tc>
          <w:tcPr>
            <w:tcW w:w="568" w:type="dxa"/>
            <w:tcBorders>
              <w:top w:val="nil"/>
              <w:left w:val="nil"/>
              <w:bottom w:val="nil"/>
              <w:right w:val="nil"/>
            </w:tcBorders>
          </w:tcPr>
          <w:p>
            <w:pPr>
              <w:pStyle w:val="Normal"/>
              <w:widowControl/>
              <w:spacing w:before="0" w:after="0"/>
              <w:jc w:val="left"/>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c>
          <w:tcPr>
            <w:tcW w:w="4536" w:type="dxa"/>
            <w:tcBorders>
              <w:top w:val="nil"/>
              <w:left w:val="nil"/>
              <w:bottom w:val="nil"/>
              <w:right w:val="nil"/>
            </w:tcBorders>
          </w:tcPr>
          <w:p>
            <w:pPr>
              <w:pStyle w:val="Normal"/>
              <w:widowControl/>
              <w:spacing w:before="0" w:after="0"/>
              <w:jc w:val="both"/>
              <w:rPr>
                <w:b/>
                <w:b/>
                <w:bCs/>
                <w:lang w:val="it-IT"/>
              </w:rPr>
            </w:pPr>
            <w:r>
              <w:rPr>
                <w:rFonts w:eastAsia="Times New Roman" w:cs="Arial" w:ascii="Arial" w:hAnsi="Arial"/>
                <w:b/>
                <w:bCs/>
                <w:color w:val="000000"/>
                <w:kern w:val="0"/>
                <w:sz w:val="20"/>
                <w:szCs w:val="20"/>
                <w:lang w:val="it-IT" w:eastAsia="de-DE" w:bidi="ar-SA"/>
              </w:rPr>
              <w:t>Lettera d’invito alla procedura ad evidenza pubblica di cui all’art. 47 della L.P. no. 13/1997 per la vendita di immobili nella zona produttiva „Föhrenhain“</w:t>
            </w:r>
          </w:p>
        </w:tc>
      </w:tr>
      <w:tr>
        <w:trPr/>
        <w:tc>
          <w:tcPr>
            <w:tcW w:w="4530" w:type="dxa"/>
            <w:tcBorders>
              <w:top w:val="nil"/>
              <w:left w:val="nil"/>
              <w:bottom w:val="nil"/>
              <w:right w:val="nil"/>
            </w:tcBorders>
          </w:tcPr>
          <w:p>
            <w:pPr>
              <w:pStyle w:val="Western"/>
              <w:widowControl/>
              <w:spacing w:lineRule="auto" w:line="240" w:before="0" w:after="0"/>
              <w:jc w:val="left"/>
              <w:rPr>
                <w:rFonts w:ascii="Arial" w:hAnsi="Arial" w:cs="Arial"/>
                <w:sz w:val="20"/>
                <w:szCs w:val="20"/>
                <w:lang w:val="it-IT"/>
              </w:rPr>
            </w:pPr>
            <w:r>
              <w:rPr>
                <w:rFonts w:eastAsia="Times New Roman" w:cs="Arial" w:ascii="Arial" w:hAnsi="Arial"/>
                <w:kern w:val="0"/>
                <w:sz w:val="20"/>
                <w:szCs w:val="20"/>
                <w:lang w:val="de-DE" w:eastAsia="de-DE" w:bidi="ar-SA"/>
              </w:rPr>
            </w:r>
          </w:p>
        </w:tc>
        <w:tc>
          <w:tcPr>
            <w:tcW w:w="568"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4536"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r>
      <w:tr>
        <w:trPr/>
        <w:tc>
          <w:tcPr>
            <w:tcW w:w="4530" w:type="dxa"/>
            <w:tcBorders>
              <w:top w:val="nil"/>
              <w:left w:val="nil"/>
              <w:bottom w:val="nil"/>
              <w:right w:val="nil"/>
            </w:tcBorders>
          </w:tcPr>
          <w:p>
            <w:pPr>
              <w:pStyle w:val="Western"/>
              <w:widowControl/>
              <w:spacing w:lineRule="auto" w:line="240" w:before="0" w:after="0"/>
              <w:jc w:val="both"/>
              <w:rPr>
                <w:rFonts w:ascii="Arial" w:hAnsi="Arial" w:cs="Arial"/>
                <w:sz w:val="20"/>
                <w:szCs w:val="20"/>
              </w:rPr>
            </w:pPr>
            <w:r>
              <w:rPr>
                <w:rFonts w:eastAsia="Times New Roman" w:cs="Arial" w:ascii="Arial" w:hAnsi="Arial"/>
                <w:kern w:val="0"/>
                <w:sz w:val="20"/>
                <w:szCs w:val="20"/>
                <w:lang w:val="de-DE" w:eastAsia="de-DE" w:bidi="ar-SA"/>
              </w:rPr>
              <w:t>Die Gemeinde U.lb.Frau im Walde – St. Felix beabsichtigt folgende Liegenschafn zu verkaufen:</w:t>
            </w:r>
          </w:p>
        </w:tc>
        <w:tc>
          <w:tcPr>
            <w:tcW w:w="568" w:type="dxa"/>
            <w:tcBorders>
              <w:top w:val="nil"/>
              <w:left w:val="nil"/>
              <w:bottom w:val="nil"/>
              <w:right w:val="nil"/>
            </w:tcBorders>
          </w:tcPr>
          <w:p>
            <w:pPr>
              <w:pStyle w:val="Normal"/>
              <w:widowControl/>
              <w:spacing w:before="0" w:after="0"/>
              <w:jc w:val="left"/>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c>
          <w:tcPr>
            <w:tcW w:w="4536" w:type="dxa"/>
            <w:tcBorders>
              <w:top w:val="nil"/>
              <w:left w:val="nil"/>
              <w:bottom w:val="nil"/>
              <w:right w:val="nil"/>
            </w:tcBorders>
          </w:tcPr>
          <w:p>
            <w:pPr>
              <w:pStyle w:val="Western"/>
              <w:widowControl/>
              <w:spacing w:lineRule="auto" w:line="240" w:before="0" w:after="0"/>
              <w:jc w:val="both"/>
              <w:rPr>
                <w:lang w:val="it-IT"/>
              </w:rPr>
            </w:pPr>
            <w:r>
              <w:rPr>
                <w:rFonts w:eastAsia="Times New Roman" w:cs="Arial" w:ascii="Arial" w:hAnsi="Arial"/>
                <w:kern w:val="0"/>
                <w:sz w:val="20"/>
                <w:szCs w:val="20"/>
                <w:lang w:val="it-IT" w:eastAsia="de-DE" w:bidi="ar-SA"/>
              </w:rPr>
              <w:t>Il Comune di Senale – San Felice intende vendere il seguente immobile:</w:t>
            </w:r>
          </w:p>
        </w:tc>
      </w:tr>
      <w:tr>
        <w:trPr/>
        <w:tc>
          <w:tcPr>
            <w:tcW w:w="4530"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568"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4536"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r>
      <w:tr>
        <w:trPr/>
        <w:tc>
          <w:tcPr>
            <w:tcW w:w="4530" w:type="dxa"/>
            <w:tcBorders>
              <w:top w:val="nil"/>
              <w:left w:val="nil"/>
              <w:bottom w:val="nil"/>
              <w:right w:val="nil"/>
            </w:tcBorders>
          </w:tcPr>
          <w:p>
            <w:pPr>
              <w:pStyle w:val="Western"/>
              <w:widowControl/>
              <w:spacing w:lineRule="auto" w:line="240" w:before="0" w:after="0"/>
              <w:jc w:val="both"/>
              <w:rPr>
                <w:rFonts w:eastAsia="Times New Roman"/>
                <w:kern w:val="0"/>
                <w:lang w:val="de-DE" w:eastAsia="de-DE" w:bidi="ar-SA"/>
              </w:rPr>
            </w:pPr>
            <w:r>
              <w:rPr>
                <w:rFonts w:eastAsia="Times New Roman" w:cs="Arial" w:ascii="Arial" w:hAnsi="Arial"/>
                <w:b/>
                <w:bCs/>
                <w:kern w:val="0"/>
                <w:sz w:val="20"/>
                <w:szCs w:val="20"/>
                <w:lang w:val="de-DE" w:eastAsia="de-DE" w:bidi="ar-SA"/>
              </w:rPr>
              <w:t>LIEGENSCHAFT IM GEWERBEGEBIET FÖHRENHAIN</w:t>
            </w:r>
          </w:p>
          <w:p>
            <w:pPr>
              <w:pStyle w:val="Western"/>
              <w:widowControl/>
              <w:spacing w:lineRule="auto" w:line="240" w:before="280" w:after="0"/>
              <w:jc w:val="both"/>
              <w:rPr>
                <w:rFonts w:eastAsia="Times New Roman"/>
                <w:kern w:val="0"/>
                <w:lang w:val="de-DE" w:eastAsia="de-DE" w:bidi="ar-SA"/>
              </w:rPr>
            </w:pPr>
            <w:r>
              <w:rPr>
                <w:rFonts w:eastAsia="Times New Roman" w:cs="Arial" w:ascii="Arial" w:hAnsi="Arial"/>
                <w:b/>
                <w:bCs/>
                <w:kern w:val="0"/>
                <w:sz w:val="20"/>
                <w:szCs w:val="20"/>
                <w:lang w:val="de-DE" w:eastAsia="de-DE" w:bidi="ar-SA"/>
              </w:rPr>
              <w:t>Gp. 1899/7 K.G. St. Felix von 898 m²</w:t>
            </w:r>
          </w:p>
        </w:tc>
        <w:tc>
          <w:tcPr>
            <w:tcW w:w="568" w:type="dxa"/>
            <w:tcBorders>
              <w:top w:val="nil"/>
              <w:left w:val="nil"/>
              <w:bottom w:val="nil"/>
              <w:right w:val="nil"/>
            </w:tcBorders>
          </w:tcPr>
          <w:p>
            <w:pPr>
              <w:pStyle w:val="Normal"/>
              <w:widowControl/>
              <w:spacing w:before="0" w:after="0"/>
              <w:jc w:val="both"/>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c>
          <w:tcPr>
            <w:tcW w:w="4536" w:type="dxa"/>
            <w:tcBorders>
              <w:top w:val="nil"/>
              <w:left w:val="nil"/>
              <w:bottom w:val="nil"/>
              <w:right w:val="nil"/>
            </w:tcBorders>
          </w:tcPr>
          <w:p>
            <w:pPr>
              <w:pStyle w:val="Western"/>
              <w:widowControl/>
              <w:spacing w:lineRule="auto" w:line="240" w:before="0" w:after="0"/>
              <w:jc w:val="both"/>
              <w:rPr>
                <w:lang w:val="it-IT"/>
              </w:rPr>
            </w:pPr>
            <w:r>
              <w:rPr>
                <w:rFonts w:eastAsia="Times New Roman" w:cs="Arial" w:ascii="Arial" w:hAnsi="Arial"/>
                <w:b/>
                <w:bCs/>
                <w:kern w:val="0"/>
                <w:sz w:val="20"/>
                <w:szCs w:val="20"/>
                <w:lang w:val="it-IT" w:eastAsia="de-DE" w:bidi="ar-SA"/>
              </w:rPr>
              <w:t>IMMOBILe NELLA ZONA PRODUTTIVA FÖHRENHAIN</w:t>
            </w:r>
          </w:p>
          <w:p>
            <w:pPr>
              <w:pStyle w:val="Western"/>
              <w:widowControl/>
              <w:spacing w:lineRule="auto" w:line="240" w:before="280" w:after="0"/>
              <w:jc w:val="both"/>
              <w:rPr>
                <w:lang w:val="it-IT"/>
              </w:rPr>
            </w:pPr>
            <w:r>
              <w:rPr>
                <w:rFonts w:eastAsia="Times New Roman" w:cs="Arial" w:ascii="Arial" w:hAnsi="Arial"/>
                <w:b/>
                <w:bCs/>
                <w:kern w:val="0"/>
                <w:sz w:val="20"/>
                <w:szCs w:val="20"/>
                <w:lang w:val="it-IT" w:eastAsia="de-DE" w:bidi="ar-SA"/>
              </w:rPr>
              <w:t>P.F. 1899/7, C.C. San Felice di 898 mq</w:t>
            </w:r>
          </w:p>
        </w:tc>
      </w:tr>
      <w:tr>
        <w:trPr/>
        <w:tc>
          <w:tcPr>
            <w:tcW w:w="4530"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568"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4536"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r>
      <w:tr>
        <w:trPr/>
        <w:tc>
          <w:tcPr>
            <w:tcW w:w="4530" w:type="dxa"/>
            <w:tcBorders>
              <w:top w:val="nil"/>
              <w:left w:val="nil"/>
              <w:bottom w:val="nil"/>
              <w:right w:val="nil"/>
            </w:tcBorders>
          </w:tcPr>
          <w:p>
            <w:pPr>
              <w:pStyle w:val="Western"/>
              <w:widowControl/>
              <w:spacing w:lineRule="auto" w:line="240" w:before="0" w:after="0"/>
              <w:jc w:val="both"/>
              <w:rPr>
                <w:rFonts w:eastAsia="Times New Roman"/>
                <w:kern w:val="0"/>
                <w:lang w:val="de-DE" w:eastAsia="de-DE" w:bidi="ar-SA"/>
              </w:rPr>
            </w:pPr>
            <w:r>
              <w:rPr>
                <w:rFonts w:eastAsia="Times New Roman" w:cs="Arial" w:ascii="Arial" w:hAnsi="Arial"/>
                <w:kern w:val="0"/>
                <w:sz w:val="20"/>
                <w:szCs w:val="20"/>
                <w:lang w:val="de-DE" w:eastAsia="de-DE" w:bidi="ar-SA"/>
              </w:rPr>
              <w:t>Es handelt sich dabei um ein Grundstück im Gewerbegebiet „Föhrenhain“ in St. Felix, welches für die Ansiedlung von Unternehmen vorgesehen ist. Auf dieser Liegenschaft darf nur jene Tätigkeit ausgeführt werden, welche vom Landesraumordnungsgesetz (L.G. 13/1997), vom Bauleitplan und vom Durchführungsplan zugelassen ist.</w:t>
            </w:r>
          </w:p>
        </w:tc>
        <w:tc>
          <w:tcPr>
            <w:tcW w:w="568" w:type="dxa"/>
            <w:tcBorders>
              <w:top w:val="nil"/>
              <w:left w:val="nil"/>
              <w:bottom w:val="nil"/>
              <w:right w:val="nil"/>
            </w:tcBorders>
          </w:tcPr>
          <w:p>
            <w:pPr>
              <w:pStyle w:val="Normal"/>
              <w:widowControl/>
              <w:spacing w:before="0" w:after="0"/>
              <w:jc w:val="left"/>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c>
          <w:tcPr>
            <w:tcW w:w="4536" w:type="dxa"/>
            <w:tcBorders>
              <w:top w:val="nil"/>
              <w:left w:val="nil"/>
              <w:bottom w:val="nil"/>
              <w:right w:val="nil"/>
            </w:tcBorders>
          </w:tcPr>
          <w:p>
            <w:pPr>
              <w:pStyle w:val="Western"/>
              <w:widowControl/>
              <w:spacing w:lineRule="auto" w:line="240" w:before="0" w:after="0"/>
              <w:jc w:val="both"/>
              <w:rPr>
                <w:lang w:val="it-IT"/>
              </w:rPr>
            </w:pPr>
            <w:r>
              <w:rPr>
                <w:rFonts w:eastAsia="Times New Roman" w:cs="Arial" w:ascii="Arial" w:hAnsi="Arial"/>
                <w:kern w:val="0"/>
                <w:sz w:val="20"/>
                <w:szCs w:val="20"/>
                <w:lang w:val="it-IT" w:eastAsia="de-DE" w:bidi="ar-SA"/>
              </w:rPr>
              <w:t>Si tratta di terreno situato nella zona produttiva Föhrenhain a San Felice, il quale è previsto come area per l’insediamento di imprese. Su tale area possa essere svolto solamenta l’attività ammessa dalla legge urbanistica provinciale (L.P. 13/1997), dal piano urbanistico comunale e dal piano d’attuazione.</w:t>
            </w:r>
          </w:p>
        </w:tc>
      </w:tr>
      <w:tr>
        <w:trPr>
          <w:trHeight w:val="162" w:hRule="atLeast"/>
        </w:trPr>
        <w:tc>
          <w:tcPr>
            <w:tcW w:w="4530"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568"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4536"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r>
      <w:tr>
        <w:trPr/>
        <w:tc>
          <w:tcPr>
            <w:tcW w:w="4530" w:type="dxa"/>
            <w:tcBorders>
              <w:top w:val="nil"/>
              <w:left w:val="nil"/>
              <w:bottom w:val="nil"/>
              <w:right w:val="nil"/>
            </w:tcBorders>
          </w:tcPr>
          <w:p>
            <w:pPr>
              <w:pStyle w:val="Western"/>
              <w:widowControl/>
              <w:spacing w:lineRule="auto" w:line="240" w:before="0" w:after="0"/>
              <w:jc w:val="left"/>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c>
          <w:tcPr>
            <w:tcW w:w="568" w:type="dxa"/>
            <w:tcBorders>
              <w:top w:val="nil"/>
              <w:left w:val="nil"/>
              <w:bottom w:val="nil"/>
              <w:right w:val="nil"/>
            </w:tcBorders>
          </w:tcPr>
          <w:p>
            <w:pPr>
              <w:pStyle w:val="Normal"/>
              <w:widowControl/>
              <w:spacing w:before="0" w:after="0"/>
              <w:jc w:val="left"/>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c>
          <w:tcPr>
            <w:tcW w:w="4536" w:type="dxa"/>
            <w:tcBorders>
              <w:top w:val="nil"/>
              <w:left w:val="nil"/>
              <w:bottom w:val="nil"/>
              <w:right w:val="nil"/>
            </w:tcBorders>
          </w:tcPr>
          <w:p>
            <w:pPr>
              <w:pStyle w:val="Western"/>
              <w:widowControl/>
              <w:spacing w:lineRule="auto" w:line="240" w:before="0" w:after="0"/>
              <w:jc w:val="both"/>
              <w:rPr>
                <w:lang w:val="it-IT"/>
              </w:rPr>
            </w:pPr>
            <w:r>
              <w:rPr>
                <w:rFonts w:eastAsia="Times New Roman" w:cs="Times New Roman"/>
                <w:kern w:val="0"/>
                <w:lang w:val="de-DE" w:eastAsia="de-DE" w:bidi="ar-SA"/>
              </w:rPr>
            </w:r>
          </w:p>
        </w:tc>
      </w:tr>
      <w:tr>
        <w:trPr/>
        <w:tc>
          <w:tcPr>
            <w:tcW w:w="4530"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568"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4536" w:type="dxa"/>
            <w:tcBorders>
              <w:top w:val="nil"/>
              <w:left w:val="nil"/>
              <w:bottom w:val="nil"/>
              <w:right w:val="nil"/>
            </w:tcBorders>
          </w:tcPr>
          <w:p>
            <w:pPr>
              <w:pStyle w:val="Normal"/>
              <w:widowControl/>
              <w:spacing w:before="0" w:after="0"/>
              <w:jc w:val="both"/>
              <w:rPr>
                <w:lang w:val="it-IT"/>
              </w:rPr>
            </w:pPr>
            <w:r>
              <w:rPr>
                <w:rFonts w:eastAsia="Times New Roman" w:cs="Times New Roman"/>
                <w:kern w:val="0"/>
                <w:lang w:val="de-DE" w:eastAsia="de-DE" w:bidi="ar-SA"/>
              </w:rPr>
            </w:r>
          </w:p>
        </w:tc>
      </w:tr>
      <w:tr>
        <w:trPr/>
        <w:tc>
          <w:tcPr>
            <w:tcW w:w="4530" w:type="dxa"/>
            <w:tcBorders>
              <w:top w:val="nil"/>
              <w:left w:val="nil"/>
              <w:bottom w:val="nil"/>
              <w:right w:val="nil"/>
            </w:tcBorders>
          </w:tcPr>
          <w:p>
            <w:pPr>
              <w:pStyle w:val="Western"/>
              <w:widowControl/>
              <w:spacing w:lineRule="auto" w:line="240" w:before="0" w:after="0"/>
              <w:jc w:val="left"/>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c>
          <w:tcPr>
            <w:tcW w:w="568" w:type="dxa"/>
            <w:tcBorders>
              <w:top w:val="nil"/>
              <w:left w:val="nil"/>
              <w:bottom w:val="nil"/>
              <w:right w:val="nil"/>
            </w:tcBorders>
          </w:tcPr>
          <w:p>
            <w:pPr>
              <w:pStyle w:val="Normal"/>
              <w:widowControl/>
              <w:spacing w:before="0" w:after="0"/>
              <w:jc w:val="left"/>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c>
          <w:tcPr>
            <w:tcW w:w="4536" w:type="dxa"/>
            <w:tcBorders>
              <w:top w:val="nil"/>
              <w:left w:val="nil"/>
              <w:bottom w:val="nil"/>
              <w:right w:val="nil"/>
            </w:tcBorders>
          </w:tcPr>
          <w:p>
            <w:pPr>
              <w:pStyle w:val="Western"/>
              <w:widowControl/>
              <w:spacing w:lineRule="auto" w:line="240" w:before="0" w:after="0"/>
              <w:jc w:val="both"/>
              <w:rPr>
                <w:lang w:val="it-IT"/>
              </w:rPr>
            </w:pPr>
            <w:r>
              <w:rPr>
                <w:rFonts w:eastAsia="Times New Roman" w:cs="Times New Roman"/>
                <w:kern w:val="0"/>
                <w:lang w:val="de-DE" w:eastAsia="de-DE" w:bidi="ar-SA"/>
              </w:rPr>
            </w:r>
          </w:p>
        </w:tc>
      </w:tr>
      <w:tr>
        <w:trPr>
          <w:trHeight w:val="80" w:hRule="atLeast"/>
        </w:trPr>
        <w:tc>
          <w:tcPr>
            <w:tcW w:w="4530"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568"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4536"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r>
      <w:tr>
        <w:trPr/>
        <w:tc>
          <w:tcPr>
            <w:tcW w:w="4530" w:type="dxa"/>
            <w:tcBorders>
              <w:top w:val="nil"/>
              <w:left w:val="nil"/>
              <w:bottom w:val="nil"/>
              <w:right w:val="nil"/>
            </w:tcBorders>
          </w:tcPr>
          <w:p>
            <w:pPr>
              <w:pStyle w:val="Western"/>
              <w:widowControl/>
              <w:spacing w:lineRule="auto" w:line="240" w:before="0" w:after="0"/>
              <w:jc w:val="both"/>
              <w:rPr>
                <w:rFonts w:ascii="Arial" w:hAnsi="Arial" w:cs="Arial"/>
                <w:sz w:val="20"/>
                <w:szCs w:val="20"/>
              </w:rPr>
            </w:pPr>
            <w:r>
              <w:rPr>
                <w:rFonts w:eastAsia="Times New Roman" w:cs="Arial" w:ascii="Arial" w:hAnsi="Arial"/>
                <w:kern w:val="0"/>
                <w:sz w:val="20"/>
                <w:szCs w:val="20"/>
                <w:lang w:val="de-DE" w:eastAsia="de-DE" w:bidi="ar-SA"/>
              </w:rPr>
              <w:t>Gp. 1899/7 K.G. St. Felix von 898 m² (Nettofläche) und 358 m² (Anteil öffentl. Fläche)</w:t>
            </w:r>
          </w:p>
          <w:p>
            <w:pPr>
              <w:pStyle w:val="Western"/>
              <w:widowControl/>
              <w:spacing w:lineRule="auto" w:line="240" w:before="280" w:after="0"/>
              <w:jc w:val="left"/>
              <w:rPr>
                <w:rFonts w:eastAsia="Times New Roman"/>
                <w:kern w:val="0"/>
                <w:lang w:val="de-DE" w:eastAsia="de-DE" w:bidi="ar-SA"/>
              </w:rPr>
            </w:pPr>
            <w:r>
              <w:rPr>
                <w:rFonts w:eastAsia="Times New Roman" w:cs="Arial" w:ascii="Arial" w:hAnsi="Arial"/>
                <w:b/>
                <w:bCs/>
                <w:kern w:val="0"/>
                <w:sz w:val="20"/>
                <w:szCs w:val="20"/>
                <w:lang w:val="de-DE" w:eastAsia="de-DE" w:bidi="ar-SA"/>
              </w:rPr>
              <w:t>Schätzpreis des Landesschätzamtes: 50,00 €/m² - Euro 62.800,00</w:t>
            </w:r>
          </w:p>
          <w:p>
            <w:pPr>
              <w:pStyle w:val="Western"/>
              <w:widowControl/>
              <w:spacing w:lineRule="auto" w:line="240" w:before="280" w:after="0"/>
              <w:jc w:val="left"/>
              <w:rPr>
                <w:rFonts w:eastAsia="Times New Roman"/>
                <w:kern w:val="0"/>
                <w:lang w:val="de-DE" w:eastAsia="de-DE" w:bidi="ar-SA"/>
              </w:rPr>
            </w:pPr>
            <w:r>
              <w:rPr>
                <w:rFonts w:eastAsia="Times New Roman" w:cs="Arial" w:ascii="Arial" w:hAnsi="Arial"/>
                <w:b/>
                <w:bCs/>
                <w:kern w:val="0"/>
                <w:sz w:val="20"/>
                <w:szCs w:val="20"/>
                <w:lang w:val="de-DE" w:eastAsia="de-DE" w:bidi="ar-SA"/>
              </w:rPr>
              <w:t>Erschließungskosten: Euro 40.124,75</w:t>
            </w:r>
          </w:p>
          <w:p>
            <w:pPr>
              <w:pStyle w:val="Western"/>
              <w:widowControl/>
              <w:spacing w:lineRule="auto" w:line="240" w:before="280" w:after="0"/>
              <w:jc w:val="left"/>
              <w:rPr>
                <w:rFonts w:eastAsia="Times New Roman"/>
                <w:kern w:val="0"/>
                <w:lang w:val="de-DE" w:eastAsia="de-DE" w:bidi="ar-SA"/>
              </w:rPr>
            </w:pPr>
            <w:r>
              <w:rPr>
                <w:rFonts w:eastAsia="Times New Roman" w:cs="Arial" w:ascii="Arial" w:hAnsi="Arial"/>
                <w:b/>
                <w:bCs/>
                <w:kern w:val="0"/>
                <w:sz w:val="20"/>
                <w:szCs w:val="20"/>
                <w:lang w:val="de-DE" w:eastAsia="de-DE" w:bidi="ar-SA"/>
              </w:rPr>
              <w:t>Gesamtkosten: Euro 102.924,75</w:t>
            </w:r>
          </w:p>
        </w:tc>
        <w:tc>
          <w:tcPr>
            <w:tcW w:w="568" w:type="dxa"/>
            <w:tcBorders>
              <w:top w:val="nil"/>
              <w:left w:val="nil"/>
              <w:bottom w:val="nil"/>
              <w:right w:val="nil"/>
            </w:tcBorders>
          </w:tcPr>
          <w:p>
            <w:pPr>
              <w:pStyle w:val="Normal"/>
              <w:widowControl/>
              <w:spacing w:before="0" w:after="0"/>
              <w:jc w:val="left"/>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c>
          <w:tcPr>
            <w:tcW w:w="4536" w:type="dxa"/>
            <w:tcBorders>
              <w:top w:val="nil"/>
              <w:left w:val="nil"/>
              <w:bottom w:val="nil"/>
              <w:right w:val="nil"/>
            </w:tcBorders>
          </w:tcPr>
          <w:p>
            <w:pPr>
              <w:pStyle w:val="Western"/>
              <w:widowControl/>
              <w:spacing w:lineRule="auto" w:line="240" w:before="0" w:after="0"/>
              <w:jc w:val="both"/>
              <w:rPr>
                <w:lang w:val="it-IT"/>
              </w:rPr>
            </w:pPr>
            <w:r>
              <w:rPr>
                <w:rFonts w:eastAsia="Times New Roman" w:cs="Arial" w:ascii="Arial" w:hAnsi="Arial"/>
                <w:kern w:val="0"/>
                <w:sz w:val="20"/>
                <w:szCs w:val="20"/>
                <w:lang w:val="it-IT" w:eastAsia="de-DE" w:bidi="ar-SA"/>
              </w:rPr>
              <w:t>p.f. 1899/7 C.C. San Felice di 898 m² (superficie netta) e 358 m² (porz. aree pubbliche)</w:t>
            </w:r>
          </w:p>
          <w:p>
            <w:pPr>
              <w:pStyle w:val="Western"/>
              <w:widowControl/>
              <w:spacing w:lineRule="auto" w:line="240" w:before="280" w:after="0"/>
              <w:jc w:val="both"/>
              <w:rPr>
                <w:lang w:val="it-IT"/>
              </w:rPr>
            </w:pPr>
            <w:r>
              <w:rPr>
                <w:rFonts w:eastAsia="Times New Roman" w:cs="Arial" w:ascii="Arial" w:hAnsi="Arial"/>
                <w:b/>
                <w:bCs/>
                <w:kern w:val="0"/>
                <w:sz w:val="20"/>
                <w:szCs w:val="20"/>
                <w:lang w:val="it-IT" w:eastAsia="de-DE" w:bidi="ar-SA"/>
              </w:rPr>
              <w:t>Stima dell’Ufficio Estimo della Provincia: 50,00 €/mq - Euro 62.800,00</w:t>
            </w:r>
          </w:p>
          <w:p>
            <w:pPr>
              <w:pStyle w:val="Western"/>
              <w:widowControl/>
              <w:spacing w:lineRule="auto" w:line="240" w:before="280" w:after="0"/>
              <w:jc w:val="both"/>
              <w:rPr>
                <w:lang w:val="it-IT"/>
              </w:rPr>
            </w:pPr>
            <w:r>
              <w:rPr>
                <w:rFonts w:eastAsia="Times New Roman" w:cs="Arial" w:ascii="Arial" w:hAnsi="Arial"/>
                <w:b/>
                <w:bCs/>
                <w:kern w:val="0"/>
                <w:sz w:val="20"/>
                <w:szCs w:val="20"/>
                <w:lang w:val="it-IT" w:eastAsia="de-DE" w:bidi="ar-SA"/>
              </w:rPr>
              <w:t>Costi di urbanizzazione: Euro 40.124,75</w:t>
            </w:r>
          </w:p>
          <w:p>
            <w:pPr>
              <w:pStyle w:val="Western"/>
              <w:widowControl/>
              <w:spacing w:lineRule="auto" w:line="240" w:before="280" w:after="0"/>
              <w:jc w:val="both"/>
              <w:rPr>
                <w:lang w:val="it-IT"/>
              </w:rPr>
            </w:pPr>
            <w:r>
              <w:rPr>
                <w:rFonts w:eastAsia="Times New Roman" w:cs="Arial" w:ascii="Arial" w:hAnsi="Arial"/>
                <w:b/>
                <w:bCs/>
                <w:kern w:val="0"/>
                <w:sz w:val="20"/>
                <w:szCs w:val="20"/>
                <w:lang w:val="it-IT" w:eastAsia="de-DE" w:bidi="ar-SA"/>
              </w:rPr>
              <w:t>Costo totale: Euro 102.924,75</w:t>
            </w:r>
          </w:p>
        </w:tc>
      </w:tr>
      <w:tr>
        <w:trPr/>
        <w:tc>
          <w:tcPr>
            <w:tcW w:w="4530"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568"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4536" w:type="dxa"/>
            <w:tcBorders>
              <w:top w:val="nil"/>
              <w:left w:val="nil"/>
              <w:bottom w:val="nil"/>
              <w:right w:val="nil"/>
            </w:tcBorders>
          </w:tcPr>
          <w:p>
            <w:pPr>
              <w:pStyle w:val="Normal"/>
              <w:widowControl/>
              <w:spacing w:before="0" w:after="0"/>
              <w:jc w:val="both"/>
              <w:rPr>
                <w:lang w:val="it-IT"/>
              </w:rPr>
            </w:pPr>
            <w:r>
              <w:rPr>
                <w:rFonts w:eastAsia="Times New Roman" w:cs="Times New Roman"/>
                <w:kern w:val="0"/>
                <w:lang w:val="de-DE" w:eastAsia="de-DE" w:bidi="ar-SA"/>
              </w:rPr>
            </w:r>
          </w:p>
        </w:tc>
      </w:tr>
      <w:tr>
        <w:trPr/>
        <w:tc>
          <w:tcPr>
            <w:tcW w:w="4530" w:type="dxa"/>
            <w:tcBorders>
              <w:top w:val="nil"/>
              <w:left w:val="nil"/>
              <w:bottom w:val="nil"/>
              <w:right w:val="nil"/>
            </w:tcBorders>
          </w:tcPr>
          <w:p>
            <w:pPr>
              <w:pStyle w:val="Western"/>
              <w:widowControl/>
              <w:spacing w:lineRule="auto" w:line="240" w:before="0" w:after="0"/>
              <w:jc w:val="left"/>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c>
          <w:tcPr>
            <w:tcW w:w="568" w:type="dxa"/>
            <w:tcBorders>
              <w:top w:val="nil"/>
              <w:left w:val="nil"/>
              <w:bottom w:val="nil"/>
              <w:right w:val="nil"/>
            </w:tcBorders>
          </w:tcPr>
          <w:p>
            <w:pPr>
              <w:pStyle w:val="Normal"/>
              <w:widowControl/>
              <w:spacing w:before="0" w:after="0"/>
              <w:jc w:val="left"/>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c>
          <w:tcPr>
            <w:tcW w:w="4536" w:type="dxa"/>
            <w:tcBorders>
              <w:top w:val="nil"/>
              <w:left w:val="nil"/>
              <w:bottom w:val="nil"/>
              <w:right w:val="nil"/>
            </w:tcBorders>
          </w:tcPr>
          <w:p>
            <w:pPr>
              <w:pStyle w:val="Western"/>
              <w:widowControl/>
              <w:spacing w:lineRule="auto" w:line="240" w:before="0" w:after="0"/>
              <w:jc w:val="both"/>
              <w:rPr>
                <w:lang w:val="it-IT"/>
              </w:rPr>
            </w:pPr>
            <w:r>
              <w:rPr>
                <w:rFonts w:eastAsia="Times New Roman" w:cs="Times New Roman"/>
                <w:kern w:val="0"/>
                <w:lang w:val="de-DE" w:eastAsia="de-DE" w:bidi="ar-SA"/>
              </w:rPr>
            </w:r>
          </w:p>
        </w:tc>
      </w:tr>
      <w:tr>
        <w:trPr/>
        <w:tc>
          <w:tcPr>
            <w:tcW w:w="4530"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568"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4536"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r>
      <w:tr>
        <w:trPr/>
        <w:tc>
          <w:tcPr>
            <w:tcW w:w="4530" w:type="dxa"/>
            <w:tcBorders>
              <w:top w:val="nil"/>
              <w:left w:val="nil"/>
              <w:bottom w:val="nil"/>
              <w:right w:val="nil"/>
            </w:tcBorders>
          </w:tcPr>
          <w:p>
            <w:pPr>
              <w:pStyle w:val="Normal"/>
              <w:widowControl/>
              <w:spacing w:before="0" w:after="0"/>
              <w:jc w:val="both"/>
              <w:rPr>
                <w:rFonts w:ascii="Arial" w:hAnsi="Arial" w:cs="Arial"/>
                <w:color w:val="000000"/>
                <w:sz w:val="20"/>
                <w:szCs w:val="20"/>
              </w:rPr>
            </w:pPr>
            <w:r>
              <w:rPr>
                <w:rFonts w:eastAsia="Times New Roman" w:cs="Arial" w:ascii="Arial" w:hAnsi="Arial"/>
                <w:color w:val="000000"/>
                <w:kern w:val="0"/>
                <w:sz w:val="20"/>
                <w:szCs w:val="20"/>
                <w:lang w:val="de-DE" w:eastAsia="de-DE" w:bidi="ar-SA"/>
              </w:rPr>
            </w:r>
          </w:p>
        </w:tc>
        <w:tc>
          <w:tcPr>
            <w:tcW w:w="568" w:type="dxa"/>
            <w:tcBorders>
              <w:top w:val="nil"/>
              <w:left w:val="nil"/>
              <w:bottom w:val="nil"/>
              <w:right w:val="nil"/>
            </w:tcBorders>
          </w:tcPr>
          <w:p>
            <w:pPr>
              <w:pStyle w:val="Normal"/>
              <w:widowControl/>
              <w:spacing w:before="0" w:after="0"/>
              <w:jc w:val="left"/>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c>
          <w:tcPr>
            <w:tcW w:w="4536" w:type="dxa"/>
            <w:tcBorders>
              <w:top w:val="nil"/>
              <w:left w:val="nil"/>
              <w:bottom w:val="nil"/>
              <w:right w:val="nil"/>
            </w:tcBorders>
          </w:tcPr>
          <w:p>
            <w:pPr>
              <w:pStyle w:val="Normal"/>
              <w:widowControl/>
              <w:spacing w:before="0" w:after="0"/>
              <w:jc w:val="both"/>
              <w:rPr>
                <w:lang w:val="it-IT"/>
              </w:rPr>
            </w:pPr>
            <w:r>
              <w:rPr>
                <w:rFonts w:eastAsia="Times New Roman" w:cs="Times New Roman"/>
                <w:kern w:val="0"/>
                <w:lang w:val="de-DE" w:eastAsia="de-DE" w:bidi="ar-SA"/>
              </w:rPr>
            </w:r>
          </w:p>
        </w:tc>
      </w:tr>
      <w:tr>
        <w:trPr/>
        <w:tc>
          <w:tcPr>
            <w:tcW w:w="4530" w:type="dxa"/>
            <w:tcBorders>
              <w:top w:val="nil"/>
              <w:left w:val="nil"/>
              <w:bottom w:val="nil"/>
              <w:right w:val="nil"/>
            </w:tcBorders>
          </w:tcPr>
          <w:p>
            <w:pPr>
              <w:pStyle w:val="Normal"/>
              <w:widowControl/>
              <w:spacing w:before="0" w:after="0"/>
              <w:jc w:val="left"/>
              <w:rPr>
                <w:rFonts w:ascii="Arial" w:hAnsi="Arial" w:cs="Arial"/>
                <w:color w:val="000000"/>
                <w:sz w:val="20"/>
                <w:szCs w:val="20"/>
                <w:lang w:val="it-IT"/>
              </w:rPr>
            </w:pPr>
            <w:r>
              <w:rPr>
                <w:rFonts w:eastAsia="Times New Roman" w:cs="Arial" w:ascii="Arial" w:hAnsi="Arial"/>
                <w:color w:val="000000"/>
                <w:kern w:val="0"/>
                <w:sz w:val="20"/>
                <w:szCs w:val="20"/>
                <w:lang w:val="de-DE" w:eastAsia="de-DE" w:bidi="ar-SA"/>
              </w:rPr>
            </w:r>
          </w:p>
        </w:tc>
        <w:tc>
          <w:tcPr>
            <w:tcW w:w="568"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4536"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r>
      <w:tr>
        <w:trPr/>
        <w:tc>
          <w:tcPr>
            <w:tcW w:w="4530" w:type="dxa"/>
            <w:tcBorders>
              <w:top w:val="nil"/>
              <w:left w:val="nil"/>
              <w:bottom w:val="nil"/>
              <w:right w:val="nil"/>
            </w:tcBorders>
          </w:tcPr>
          <w:p>
            <w:pPr>
              <w:pStyle w:val="Western"/>
              <w:widowControl/>
              <w:spacing w:lineRule="auto" w:line="240" w:before="0" w:after="0"/>
              <w:jc w:val="both"/>
              <w:rPr>
                <w:rFonts w:eastAsia="Times New Roman"/>
                <w:kern w:val="0"/>
                <w:lang w:val="de-DE" w:eastAsia="de-DE" w:bidi="ar-SA"/>
              </w:rPr>
            </w:pPr>
            <w:r>
              <w:rPr>
                <w:rFonts w:eastAsia="Times New Roman" w:cs="Arial" w:ascii="Arial" w:hAnsi="Arial"/>
                <w:b/>
                <w:bCs/>
                <w:kern w:val="0"/>
                <w:sz w:val="20"/>
                <w:szCs w:val="20"/>
                <w:lang w:val="de-DE" w:eastAsia="de-DE" w:bidi="ar-SA"/>
              </w:rPr>
              <w:t>Zulassungskriterien für die Teilnahme am öffentlichen Auswahlverfahren:</w:t>
            </w:r>
          </w:p>
          <w:p>
            <w:pPr>
              <w:pStyle w:val="Western"/>
              <w:widowControl/>
              <w:numPr>
                <w:ilvl w:val="0"/>
                <w:numId w:val="1"/>
              </w:numPr>
              <w:spacing w:lineRule="auto" w:line="240" w:before="280" w:after="0"/>
              <w:jc w:val="both"/>
              <w:rPr>
                <w:rFonts w:eastAsia="Times New Roman"/>
                <w:kern w:val="0"/>
                <w:lang w:val="de-DE" w:eastAsia="de-DE" w:bidi="ar-SA"/>
              </w:rPr>
            </w:pPr>
            <w:r>
              <w:rPr>
                <w:rFonts w:eastAsia="Times New Roman" w:cs="Arial" w:ascii="Arial" w:hAnsi="Arial"/>
                <w:kern w:val="0"/>
                <w:sz w:val="20"/>
                <w:szCs w:val="20"/>
                <w:lang w:val="de-DE" w:eastAsia="de-DE" w:bidi="ar-SA"/>
              </w:rPr>
              <w:t>Ausübung einer gewerblichen Tätigkeit, gemäß Art. 44 LROG: „</w:t>
            </w:r>
            <w:r>
              <w:rPr>
                <w:rFonts w:eastAsia="Times New Roman" w:cs="Arial" w:ascii="Arial" w:hAnsi="Arial"/>
                <w:i/>
                <w:iCs/>
                <w:kern w:val="0"/>
                <w:sz w:val="20"/>
                <w:szCs w:val="20"/>
                <w:lang w:val="de-DE" w:eastAsia="de-DE" w:bidi="ar-SA"/>
              </w:rPr>
              <w:t>Die Gewerbegebiete sind für die Ansiedlung von Produktionstätigkeiten bestimmt. Außerdem sind folgende Tätigkeiten zulässig, sofern diese die Produktionstätigkeit nicht einschränken: 1.Großhandelstätigkeiten, 2. Dienstleistungstätigkeiten innerhalb der Grenzen laut Absatz 3, 3. Einzelhandelstätigkeiten gemäß Artikel 44.1, 4. Aus- und Weiterbildungstätigkeiten von Körperschaften ohne Gewinnabsicht.</w:t>
            </w:r>
            <w:r>
              <w:rPr>
                <w:rFonts w:eastAsia="Times New Roman" w:cs="Arial" w:ascii="Arial" w:hAnsi="Arial"/>
                <w:kern w:val="0"/>
                <w:sz w:val="20"/>
                <w:szCs w:val="20"/>
                <w:lang w:val="de-DE" w:eastAsia="de-DE" w:bidi="ar-SA"/>
              </w:rPr>
              <w:t>“</w:t>
            </w:r>
          </w:p>
          <w:p>
            <w:pPr>
              <w:pStyle w:val="Western"/>
              <w:widowControl/>
              <w:numPr>
                <w:ilvl w:val="0"/>
                <w:numId w:val="1"/>
              </w:numPr>
              <w:spacing w:lineRule="auto" w:line="240" w:before="0" w:after="0"/>
              <w:jc w:val="both"/>
              <w:rPr>
                <w:rFonts w:eastAsia="Times New Roman"/>
                <w:kern w:val="0"/>
                <w:lang w:val="de-DE" w:eastAsia="de-DE" w:bidi="ar-SA"/>
              </w:rPr>
            </w:pPr>
            <w:r>
              <w:rPr>
                <w:rFonts w:eastAsia="Times New Roman" w:cs="Arial" w:ascii="Arial" w:hAnsi="Arial"/>
                <w:kern w:val="0"/>
                <w:sz w:val="20"/>
                <w:szCs w:val="20"/>
                <w:lang w:val="de-DE" w:eastAsia="de-DE" w:bidi="ar-SA"/>
              </w:rPr>
              <w:t>Schriftliche Annahme der 4-Jahres-Frist für die Bebauung des Bauloses, sowie für den Beginn der gewerblichen Tätigkeit, gemäß Art. 47 LROG, bei sonstigem Verfall der Ansiedlung.</w:t>
            </w:r>
          </w:p>
          <w:p>
            <w:pPr>
              <w:pStyle w:val="Western"/>
              <w:widowControl/>
              <w:numPr>
                <w:ilvl w:val="0"/>
                <w:numId w:val="1"/>
              </w:numPr>
              <w:spacing w:lineRule="auto" w:line="240" w:before="0" w:after="0"/>
              <w:jc w:val="both"/>
              <w:rPr>
                <w:rFonts w:eastAsia="Times New Roman"/>
                <w:kern w:val="0"/>
                <w:lang w:val="de-DE" w:eastAsia="de-DE" w:bidi="ar-SA"/>
              </w:rPr>
            </w:pPr>
            <w:r>
              <w:rPr>
                <w:rFonts w:eastAsia="Times New Roman" w:cs="Arial" w:ascii="Arial" w:hAnsi="Arial"/>
                <w:kern w:val="0"/>
                <w:sz w:val="20"/>
                <w:szCs w:val="20"/>
                <w:lang w:val="de-DE" w:eastAsia="de-DE" w:bidi="ar-SA"/>
              </w:rPr>
              <w:t>Schriftliche Annahme der Art der Bebauung gemäß den Vorgaben des Durchführungsplans und der Durchführungsbestimmungen zum DFP „Föhrenhain“.</w:t>
            </w:r>
          </w:p>
          <w:p>
            <w:pPr>
              <w:pStyle w:val="Western"/>
              <w:widowControl/>
              <w:numPr>
                <w:ilvl w:val="0"/>
                <w:numId w:val="1"/>
              </w:numPr>
              <w:spacing w:lineRule="auto" w:line="240" w:before="0" w:after="0"/>
              <w:jc w:val="both"/>
              <w:rPr>
                <w:rFonts w:eastAsia="Times New Roman"/>
                <w:kern w:val="0"/>
                <w:lang w:val="de-DE" w:eastAsia="de-DE" w:bidi="ar-SA"/>
              </w:rPr>
            </w:pPr>
            <w:r>
              <w:rPr>
                <w:rFonts w:eastAsia="Times New Roman" w:cs="Arial" w:ascii="Arial" w:hAnsi="Arial"/>
                <w:kern w:val="0"/>
                <w:sz w:val="20"/>
                <w:szCs w:val="20"/>
                <w:lang w:val="de-DE" w:eastAsia="de-DE" w:bidi="ar-SA"/>
              </w:rPr>
              <w:t>Erklärung des/der gesetzlichen Vertreter/s des Unternehmens, dass keine Eintragungen im Strafregister zu seinen/ihren Lasten vorliegen.</w:t>
            </w:r>
          </w:p>
          <w:p>
            <w:pPr>
              <w:pStyle w:val="Western"/>
              <w:widowControl/>
              <w:numPr>
                <w:ilvl w:val="0"/>
                <w:numId w:val="1"/>
              </w:numPr>
              <w:spacing w:lineRule="auto" w:line="240" w:before="0" w:after="0"/>
              <w:jc w:val="both"/>
              <w:rPr>
                <w:rFonts w:eastAsia="Times New Roman"/>
                <w:kern w:val="0"/>
                <w:lang w:val="de-DE" w:eastAsia="de-DE" w:bidi="ar-SA"/>
              </w:rPr>
            </w:pPr>
            <w:r>
              <w:rPr>
                <w:rFonts w:eastAsia="Times New Roman" w:cs="Arial" w:ascii="Arial" w:hAnsi="Arial"/>
                <w:kern w:val="0"/>
                <w:sz w:val="20"/>
                <w:szCs w:val="20"/>
                <w:lang w:val="de-DE" w:eastAsia="de-DE" w:bidi="ar-SA"/>
              </w:rPr>
              <w:t>Erklärung, dass das Unternehmen keine offenen Verbindlichkeiten gegenüber der Gemeinde U.lb.Frau im Walde – St. Felix hat.</w:t>
            </w:r>
          </w:p>
          <w:p>
            <w:pPr>
              <w:pStyle w:val="Western"/>
              <w:widowControl/>
              <w:numPr>
                <w:ilvl w:val="0"/>
                <w:numId w:val="1"/>
              </w:numPr>
              <w:spacing w:lineRule="auto" w:line="240" w:before="0" w:after="0"/>
              <w:jc w:val="both"/>
              <w:rPr>
                <w:rFonts w:eastAsia="Times New Roman"/>
                <w:kern w:val="0"/>
                <w:lang w:val="de-DE" w:eastAsia="de-DE" w:bidi="ar-SA"/>
              </w:rPr>
            </w:pPr>
            <w:r>
              <w:rPr>
                <w:rFonts w:eastAsia="Times New Roman" w:cs="Arial" w:ascii="Arial" w:hAnsi="Arial"/>
                <w:kern w:val="0"/>
                <w:sz w:val="20"/>
                <w:szCs w:val="20"/>
                <w:lang w:val="de-DE" w:eastAsia="de-DE" w:bidi="ar-SA"/>
              </w:rPr>
              <w:t>Verpflichtung zur Zahlung/Überweisung der provisorischen Kaution im Falle der Teilnahme am Auswahlverfahren, in der Höhe von 2% des Kaufpreises:</w:t>
            </w:r>
          </w:p>
          <w:p>
            <w:pPr>
              <w:pStyle w:val="Western"/>
              <w:widowControl/>
              <w:spacing w:lineRule="auto" w:line="240" w:before="280" w:after="0"/>
              <w:ind w:left="720" w:hanging="0"/>
              <w:jc w:val="both"/>
              <w:rPr>
                <w:rFonts w:eastAsia="Times New Roman"/>
                <w:kern w:val="0"/>
                <w:lang w:val="de-DE" w:eastAsia="de-DE" w:bidi="ar-SA"/>
              </w:rPr>
            </w:pPr>
            <w:r>
              <w:rPr>
                <w:rFonts w:eastAsia="Times New Roman" w:cs="Arial" w:ascii="Arial" w:hAnsi="Arial"/>
                <w:kern w:val="0"/>
                <w:sz w:val="20"/>
                <w:szCs w:val="20"/>
                <w:lang w:val="de-DE" w:eastAsia="de-DE" w:bidi="ar-SA"/>
              </w:rPr>
              <w:t>Gp. 1899/7 - € 2.058,50.</w:t>
            </w:r>
          </w:p>
          <w:p>
            <w:pPr>
              <w:pStyle w:val="Western"/>
              <w:widowControl/>
              <w:spacing w:lineRule="auto" w:line="240" w:before="280" w:after="0"/>
              <w:ind w:left="720" w:hanging="0"/>
              <w:jc w:val="both"/>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p>
            <w:pPr>
              <w:pStyle w:val="Normal"/>
              <w:widowControl/>
              <w:spacing w:before="0" w:after="0"/>
              <w:jc w:val="left"/>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c>
          <w:tcPr>
            <w:tcW w:w="568" w:type="dxa"/>
            <w:tcBorders>
              <w:top w:val="nil"/>
              <w:left w:val="nil"/>
              <w:bottom w:val="nil"/>
              <w:right w:val="nil"/>
            </w:tcBorders>
          </w:tcPr>
          <w:p>
            <w:pPr>
              <w:pStyle w:val="Normal"/>
              <w:widowControl/>
              <w:spacing w:before="0" w:after="0"/>
              <w:jc w:val="left"/>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c>
          <w:tcPr>
            <w:tcW w:w="4536" w:type="dxa"/>
            <w:tcBorders>
              <w:top w:val="nil"/>
              <w:left w:val="nil"/>
              <w:bottom w:val="nil"/>
              <w:right w:val="nil"/>
            </w:tcBorders>
          </w:tcPr>
          <w:p>
            <w:pPr>
              <w:pStyle w:val="Western"/>
              <w:widowControl/>
              <w:spacing w:lineRule="auto" w:line="240" w:before="0" w:after="0"/>
              <w:jc w:val="both"/>
              <w:rPr>
                <w:lang w:val="it-IT"/>
              </w:rPr>
            </w:pPr>
            <w:r>
              <w:rPr>
                <w:rFonts w:eastAsia="Times New Roman" w:cs="Arial" w:ascii="Arial" w:hAnsi="Arial"/>
                <w:b/>
                <w:bCs/>
                <w:kern w:val="0"/>
                <w:sz w:val="20"/>
                <w:szCs w:val="20"/>
                <w:lang w:val="it-IT" w:eastAsia="de-DE" w:bidi="ar-SA"/>
              </w:rPr>
              <w:t>Criteri di partecipazione alla procedura ad evidenza pubblica:</w:t>
            </w:r>
          </w:p>
          <w:p>
            <w:pPr>
              <w:pStyle w:val="Western"/>
              <w:widowControl/>
              <w:numPr>
                <w:ilvl w:val="0"/>
                <w:numId w:val="3"/>
              </w:numPr>
              <w:spacing w:lineRule="auto" w:line="240" w:before="280" w:after="0"/>
              <w:jc w:val="both"/>
              <w:rPr>
                <w:lang w:val="it-IT"/>
              </w:rPr>
            </w:pPr>
            <w:r>
              <w:rPr>
                <w:rFonts w:eastAsia="Times New Roman" w:cs="Arial" w:ascii="Arial" w:hAnsi="Arial"/>
                <w:kern w:val="0"/>
                <w:sz w:val="20"/>
                <w:szCs w:val="20"/>
                <w:lang w:val="it-IT" w:eastAsia="de-DE" w:bidi="ar-SA"/>
              </w:rPr>
              <w:t>Svolgimento di un’attività produttiva ai sensi dell’art. 44 LUP: ”</w:t>
            </w:r>
            <w:r>
              <w:rPr>
                <w:rFonts w:eastAsia="Times New Roman" w:cs="Arial" w:ascii="Arial" w:hAnsi="Arial"/>
                <w:i/>
                <w:iCs/>
                <w:kern w:val="0"/>
                <w:sz w:val="20"/>
                <w:szCs w:val="20"/>
                <w:lang w:val="it-IT" w:eastAsia="de-DE" w:bidi="ar-SA"/>
              </w:rPr>
              <w:t>Le zone per insediamenti produttivi sono destinate all’insediamento di attività produttive. Sono inoltre ammesse, purché non limitino l’attività produttiva: 1. le attività di commercio all’ingrosso; 2. le attività di prestazione di servizi nei limiti di cui al comma 3; 3. le attività di commercio al dettaglio ai sensi dell’articolo 44.1; 4. le attività di formazione e di aggiornamento da parte di enti senza scopo di lucro.</w:t>
            </w:r>
            <w:r>
              <w:rPr>
                <w:rFonts w:eastAsia="Times New Roman" w:cs="Arial" w:ascii="Arial" w:hAnsi="Arial"/>
                <w:kern w:val="0"/>
                <w:sz w:val="20"/>
                <w:szCs w:val="20"/>
                <w:lang w:val="it-IT" w:eastAsia="de-DE" w:bidi="ar-SA"/>
              </w:rPr>
              <w:t xml:space="preserve">” </w:t>
            </w:r>
          </w:p>
          <w:p>
            <w:pPr>
              <w:pStyle w:val="Western"/>
              <w:widowControl/>
              <w:numPr>
                <w:ilvl w:val="0"/>
                <w:numId w:val="3"/>
              </w:numPr>
              <w:spacing w:lineRule="auto" w:line="240" w:before="0" w:after="0"/>
              <w:jc w:val="both"/>
              <w:rPr>
                <w:lang w:val="it-IT"/>
              </w:rPr>
            </w:pPr>
            <w:r>
              <w:rPr>
                <w:rFonts w:eastAsia="Times New Roman" w:cs="Arial" w:ascii="Arial" w:hAnsi="Arial"/>
                <w:kern w:val="0"/>
                <w:sz w:val="20"/>
                <w:szCs w:val="20"/>
                <w:lang w:val="it-IT" w:eastAsia="de-DE" w:bidi="ar-SA"/>
              </w:rPr>
              <w:t>Accettazione del termine di 4 anni per la costruzione sul lotto oggetto di insediamento e per l’avvio dell’attività produttiva, ai sensi dell’art. 47 LUP, a pena di decadenza dall’insediamento.</w:t>
            </w:r>
          </w:p>
          <w:p>
            <w:pPr>
              <w:pStyle w:val="Western"/>
              <w:widowControl/>
              <w:numPr>
                <w:ilvl w:val="0"/>
                <w:numId w:val="3"/>
              </w:numPr>
              <w:spacing w:lineRule="auto" w:line="240" w:before="0" w:after="0"/>
              <w:jc w:val="both"/>
              <w:rPr>
                <w:lang w:val="it-IT"/>
              </w:rPr>
            </w:pPr>
            <w:r>
              <w:rPr>
                <w:rFonts w:eastAsia="Times New Roman" w:cs="Arial" w:ascii="Arial" w:hAnsi="Arial"/>
                <w:kern w:val="0"/>
                <w:sz w:val="20"/>
                <w:szCs w:val="20"/>
                <w:lang w:val="it-IT" w:eastAsia="de-DE" w:bidi="ar-SA"/>
              </w:rPr>
              <w:t>Accettazione per iscritto del tipo di edificazione così come prescritto dal piano d’attuazione e dalle norme di attuazione del PdA “Föhrenhain”.</w:t>
            </w:r>
          </w:p>
          <w:p>
            <w:pPr>
              <w:pStyle w:val="Western"/>
              <w:widowControl/>
              <w:numPr>
                <w:ilvl w:val="0"/>
                <w:numId w:val="3"/>
              </w:numPr>
              <w:spacing w:lineRule="auto" w:line="240" w:before="0" w:after="0"/>
              <w:jc w:val="both"/>
              <w:rPr>
                <w:lang w:val="it-IT"/>
              </w:rPr>
            </w:pPr>
            <w:r>
              <w:rPr>
                <w:rFonts w:eastAsia="Times New Roman" w:cs="Arial" w:ascii="Arial" w:hAnsi="Arial"/>
                <w:kern w:val="0"/>
                <w:sz w:val="20"/>
                <w:szCs w:val="20"/>
                <w:lang w:val="it-IT" w:eastAsia="de-DE" w:bidi="ar-SA"/>
              </w:rPr>
              <w:t>Dichiarazione che il legale rappresentante / i legali rappresentanti dell’impresa non ha/hanno annotazioni nel casellario giudiziale.</w:t>
            </w:r>
          </w:p>
          <w:p>
            <w:pPr>
              <w:pStyle w:val="Western"/>
              <w:widowControl/>
              <w:numPr>
                <w:ilvl w:val="0"/>
                <w:numId w:val="3"/>
              </w:numPr>
              <w:spacing w:lineRule="auto" w:line="240" w:before="0" w:after="0"/>
              <w:jc w:val="both"/>
              <w:rPr>
                <w:lang w:val="it-IT"/>
              </w:rPr>
            </w:pPr>
            <w:r>
              <w:rPr>
                <w:rFonts w:eastAsia="Times New Roman" w:cs="Arial" w:ascii="Arial" w:hAnsi="Arial"/>
                <w:kern w:val="0"/>
                <w:sz w:val="20"/>
                <w:szCs w:val="20"/>
                <w:lang w:val="it-IT" w:eastAsia="de-DE" w:bidi="ar-SA"/>
              </w:rPr>
              <w:t>Dichiarazione che l’impresa non ha debiti aperti nei confronti del Comune di Senale – San Felice.</w:t>
            </w:r>
          </w:p>
          <w:p>
            <w:pPr>
              <w:pStyle w:val="Western"/>
              <w:widowControl/>
              <w:numPr>
                <w:ilvl w:val="0"/>
                <w:numId w:val="3"/>
              </w:numPr>
              <w:spacing w:lineRule="auto" w:line="240" w:before="0" w:after="0"/>
              <w:jc w:val="both"/>
              <w:rPr>
                <w:lang w:val="it-IT"/>
              </w:rPr>
            </w:pPr>
            <w:r>
              <w:rPr>
                <w:rFonts w:eastAsia="Times New Roman" w:cs="Arial" w:ascii="Arial" w:hAnsi="Arial"/>
                <w:kern w:val="0"/>
                <w:sz w:val="20"/>
                <w:szCs w:val="20"/>
                <w:lang w:val="it-IT" w:eastAsia="de-DE" w:bidi="ar-SA"/>
              </w:rPr>
              <w:t xml:space="preserve">Accettazione del pagamento/versamento della cauzione provvisoria in caso di partecipazione alla procedura, che ammonta al 2% del costo dell’area: </w:t>
            </w:r>
          </w:p>
          <w:p>
            <w:pPr>
              <w:pStyle w:val="Western"/>
              <w:widowControl/>
              <w:spacing w:lineRule="auto" w:line="240" w:before="280" w:after="0"/>
              <w:ind w:left="720" w:hanging="0"/>
              <w:jc w:val="both"/>
              <w:rPr>
                <w:rFonts w:ascii="Arial" w:hAnsi="Arial" w:cs="Arial"/>
                <w:sz w:val="20"/>
                <w:szCs w:val="20"/>
                <w:lang w:val="it-IT"/>
              </w:rPr>
            </w:pPr>
            <w:r>
              <w:rPr>
                <w:rFonts w:eastAsia="Times New Roman" w:cs="Arial" w:ascii="Arial" w:hAnsi="Arial"/>
                <w:kern w:val="0"/>
                <w:sz w:val="20"/>
                <w:szCs w:val="20"/>
                <w:lang w:val="de-DE" w:eastAsia="de-DE" w:bidi="ar-SA"/>
              </w:rPr>
            </w:r>
          </w:p>
          <w:p>
            <w:pPr>
              <w:pStyle w:val="Western"/>
              <w:widowControl/>
              <w:spacing w:lineRule="auto" w:line="240" w:before="280" w:after="0"/>
              <w:ind w:left="720" w:hanging="0"/>
              <w:jc w:val="both"/>
              <w:rPr>
                <w:lang w:val="it-IT"/>
              </w:rPr>
            </w:pPr>
            <w:bookmarkStart w:id="0" w:name="_GoBack"/>
            <w:bookmarkEnd w:id="0"/>
            <w:r>
              <w:rPr>
                <w:rFonts w:eastAsia="Times New Roman" w:cs="Arial" w:ascii="Arial" w:hAnsi="Arial"/>
                <w:kern w:val="0"/>
                <w:sz w:val="20"/>
                <w:szCs w:val="20"/>
                <w:lang w:val="it-IT" w:eastAsia="de-DE" w:bidi="ar-SA"/>
              </w:rPr>
              <w:t xml:space="preserve"> </w:t>
            </w:r>
            <w:r>
              <w:rPr>
                <w:rFonts w:eastAsia="Times New Roman" w:cs="Arial" w:ascii="Arial" w:hAnsi="Arial"/>
                <w:kern w:val="0"/>
                <w:sz w:val="20"/>
                <w:szCs w:val="20"/>
                <w:lang w:val="it-IT" w:eastAsia="de-DE" w:bidi="ar-SA"/>
              </w:rPr>
              <w:t>p.f. 1899/7 - € 2.058,50.</w:t>
            </w:r>
          </w:p>
          <w:p>
            <w:pPr>
              <w:pStyle w:val="Normal"/>
              <w:widowControl/>
              <w:spacing w:before="0" w:after="0"/>
              <w:jc w:val="left"/>
              <w:rPr>
                <w:lang w:val="it-IT"/>
              </w:rPr>
            </w:pPr>
            <w:r>
              <w:rPr>
                <w:rFonts w:eastAsia="Times New Roman" w:cs="Times New Roman"/>
                <w:kern w:val="0"/>
                <w:lang w:val="de-DE" w:eastAsia="de-DE" w:bidi="ar-SA"/>
              </w:rPr>
            </w:r>
          </w:p>
        </w:tc>
      </w:tr>
      <w:tr>
        <w:trPr/>
        <w:tc>
          <w:tcPr>
            <w:tcW w:w="4530"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568"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4536"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r>
      <w:tr>
        <w:trPr/>
        <w:tc>
          <w:tcPr>
            <w:tcW w:w="4530" w:type="dxa"/>
            <w:tcBorders>
              <w:top w:val="nil"/>
              <w:left w:val="nil"/>
              <w:bottom w:val="nil"/>
              <w:right w:val="nil"/>
            </w:tcBorders>
          </w:tcPr>
          <w:p>
            <w:pPr>
              <w:pStyle w:val="Western"/>
              <w:widowControl/>
              <w:spacing w:lineRule="auto" w:line="240" w:before="0" w:after="0"/>
              <w:jc w:val="both"/>
              <w:rPr>
                <w:rFonts w:eastAsia="Times New Roman"/>
                <w:kern w:val="0"/>
                <w:lang w:val="de-DE" w:eastAsia="de-DE" w:bidi="ar-SA"/>
              </w:rPr>
            </w:pPr>
            <w:r>
              <w:rPr>
                <w:rFonts w:eastAsia="Times New Roman" w:cs="Arial" w:ascii="Arial" w:hAnsi="Arial"/>
                <w:kern w:val="0"/>
                <w:sz w:val="20"/>
                <w:szCs w:val="20"/>
                <w:lang w:val="de-DE" w:eastAsia="de-DE" w:bidi="ar-SA"/>
              </w:rPr>
              <w:t xml:space="preserve">Die Zulassungskriterien sind verpflichtend. Der fehlende Besitz oder der Verlust der Voraussetzungen stellt einen Grund für den Ausschluss vom Verfahren dar. </w:t>
            </w:r>
          </w:p>
        </w:tc>
        <w:tc>
          <w:tcPr>
            <w:tcW w:w="568" w:type="dxa"/>
            <w:tcBorders>
              <w:top w:val="nil"/>
              <w:left w:val="nil"/>
              <w:bottom w:val="nil"/>
              <w:right w:val="nil"/>
            </w:tcBorders>
          </w:tcPr>
          <w:p>
            <w:pPr>
              <w:pStyle w:val="Normal"/>
              <w:widowControl/>
              <w:spacing w:before="0" w:after="0"/>
              <w:jc w:val="both"/>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c>
          <w:tcPr>
            <w:tcW w:w="4536" w:type="dxa"/>
            <w:tcBorders>
              <w:top w:val="nil"/>
              <w:left w:val="nil"/>
              <w:bottom w:val="nil"/>
              <w:right w:val="nil"/>
            </w:tcBorders>
          </w:tcPr>
          <w:p>
            <w:pPr>
              <w:pStyle w:val="NormalWeb"/>
              <w:widowControl/>
              <w:spacing w:lineRule="auto" w:line="240" w:before="0" w:after="0"/>
              <w:jc w:val="both"/>
              <w:rPr>
                <w:lang w:val="it-IT"/>
              </w:rPr>
            </w:pPr>
            <w:r>
              <w:rPr>
                <w:rFonts w:eastAsia="Times New Roman" w:cs="Arial" w:ascii="Arial" w:hAnsi="Arial"/>
                <w:kern w:val="0"/>
                <w:sz w:val="20"/>
                <w:szCs w:val="20"/>
                <w:lang w:val="it-IT" w:eastAsia="de-DE" w:bidi="ar-SA"/>
              </w:rPr>
              <w:t>Tali criteri di partecipazione sono obbligatori e il mancato possesso o la perdita dei requisiti costituisce, pertanto, causa di esclusione dalla procedura.</w:t>
            </w:r>
          </w:p>
        </w:tc>
      </w:tr>
      <w:tr>
        <w:trPr/>
        <w:tc>
          <w:tcPr>
            <w:tcW w:w="4530"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568"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4536"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r>
      <w:tr>
        <w:trPr/>
        <w:tc>
          <w:tcPr>
            <w:tcW w:w="4530" w:type="dxa"/>
            <w:tcBorders>
              <w:top w:val="nil"/>
              <w:left w:val="nil"/>
              <w:bottom w:val="nil"/>
              <w:right w:val="nil"/>
            </w:tcBorders>
          </w:tcPr>
          <w:p>
            <w:pPr>
              <w:pStyle w:val="Western"/>
              <w:widowControl/>
              <w:spacing w:lineRule="auto" w:line="240" w:before="0" w:after="0"/>
              <w:jc w:val="left"/>
              <w:rPr>
                <w:rFonts w:eastAsia="Times New Roman"/>
                <w:kern w:val="0"/>
                <w:lang w:val="de-DE" w:eastAsia="de-DE" w:bidi="ar-SA"/>
              </w:rPr>
            </w:pPr>
            <w:r>
              <w:rPr>
                <w:rFonts w:eastAsia="Times New Roman" w:cs="Arial" w:ascii="Arial" w:hAnsi="Arial"/>
                <w:b/>
                <w:bCs/>
                <w:kern w:val="0"/>
                <w:sz w:val="20"/>
                <w:szCs w:val="20"/>
                <w:lang w:val="de-DE" w:eastAsia="de-DE" w:bidi="ar-SA"/>
              </w:rPr>
              <w:t xml:space="preserve">Einreichfrist: </w:t>
            </w:r>
            <w:r>
              <w:rPr>
                <w:rFonts w:eastAsia="Times New Roman" w:cs="Arial" w:ascii="Arial" w:hAnsi="Arial"/>
                <w:b/>
                <w:bCs/>
                <w:kern w:val="0"/>
                <w:sz w:val="20"/>
                <w:szCs w:val="20"/>
                <w:lang w:val="de-DE" w:eastAsia="de-DE" w:bidi="ar-SA"/>
              </w:rPr>
              <w:t xml:space="preserve">16.09.2021 </w:t>
            </w:r>
            <w:r>
              <w:rPr>
                <w:rFonts w:eastAsia="Times New Roman" w:cs="Arial" w:ascii="Arial" w:hAnsi="Arial"/>
                <w:b/>
                <w:bCs/>
                <w:kern w:val="0"/>
                <w:sz w:val="20"/>
                <w:szCs w:val="20"/>
                <w:lang w:val="de-DE" w:eastAsia="de-DE" w:bidi="ar-SA"/>
              </w:rPr>
              <w:t>– 12:00 Uhr</w:t>
            </w:r>
          </w:p>
        </w:tc>
        <w:tc>
          <w:tcPr>
            <w:tcW w:w="568" w:type="dxa"/>
            <w:tcBorders>
              <w:top w:val="nil"/>
              <w:left w:val="nil"/>
              <w:bottom w:val="nil"/>
              <w:right w:val="nil"/>
            </w:tcBorders>
          </w:tcPr>
          <w:p>
            <w:pPr>
              <w:pStyle w:val="Normal"/>
              <w:widowControl/>
              <w:spacing w:before="0" w:after="0"/>
              <w:jc w:val="left"/>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c>
          <w:tcPr>
            <w:tcW w:w="4536" w:type="dxa"/>
            <w:tcBorders>
              <w:top w:val="nil"/>
              <w:left w:val="nil"/>
              <w:bottom w:val="nil"/>
              <w:right w:val="nil"/>
            </w:tcBorders>
          </w:tcPr>
          <w:p>
            <w:pPr>
              <w:pStyle w:val="Western"/>
              <w:widowControl/>
              <w:spacing w:lineRule="auto" w:line="240" w:before="0" w:after="0"/>
              <w:jc w:val="center"/>
              <w:rPr>
                <w:lang w:val="it-IT"/>
              </w:rPr>
            </w:pPr>
            <w:r>
              <w:rPr>
                <w:rFonts w:eastAsia="Times New Roman" w:cs="Arial" w:ascii="Arial" w:hAnsi="Arial"/>
                <w:b/>
                <w:bCs/>
                <w:kern w:val="0"/>
                <w:sz w:val="20"/>
                <w:szCs w:val="20"/>
                <w:lang w:val="it-IT" w:eastAsia="de-DE" w:bidi="ar-SA"/>
              </w:rPr>
              <w:t xml:space="preserve">Termine perentorio per la presentazione della domanda: </w:t>
            </w:r>
            <w:r>
              <w:rPr>
                <w:rFonts w:eastAsia="Times New Roman" w:cs="Arial" w:ascii="Arial" w:hAnsi="Arial"/>
                <w:b/>
                <w:bCs/>
                <w:kern w:val="0"/>
                <w:sz w:val="20"/>
                <w:szCs w:val="20"/>
                <w:lang w:val="it-IT" w:eastAsia="de-DE" w:bidi="ar-SA"/>
              </w:rPr>
              <w:t xml:space="preserve">16.09.2021 </w:t>
            </w:r>
            <w:r>
              <w:rPr>
                <w:rFonts w:eastAsia="Times New Roman" w:cs="Arial" w:ascii="Arial" w:hAnsi="Arial"/>
                <w:b/>
                <w:bCs/>
                <w:kern w:val="0"/>
                <w:sz w:val="20"/>
                <w:szCs w:val="20"/>
                <w:lang w:val="it-IT" w:eastAsia="de-DE" w:bidi="ar-SA"/>
              </w:rPr>
              <w:t>– ore 12:00</w:t>
            </w:r>
          </w:p>
        </w:tc>
      </w:tr>
      <w:tr>
        <w:trPr/>
        <w:tc>
          <w:tcPr>
            <w:tcW w:w="4530"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568"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4536"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r>
      <w:tr>
        <w:trPr/>
        <w:tc>
          <w:tcPr>
            <w:tcW w:w="4530" w:type="dxa"/>
            <w:tcBorders>
              <w:top w:val="nil"/>
              <w:left w:val="nil"/>
              <w:bottom w:val="nil"/>
              <w:right w:val="nil"/>
            </w:tcBorders>
          </w:tcPr>
          <w:p>
            <w:pPr>
              <w:pStyle w:val="Western"/>
              <w:widowControl/>
              <w:spacing w:lineRule="auto" w:line="240" w:before="0" w:after="0"/>
              <w:jc w:val="both"/>
              <w:rPr>
                <w:rFonts w:eastAsia="Times New Roman"/>
                <w:kern w:val="0"/>
                <w:lang w:val="de-DE" w:eastAsia="de-DE" w:bidi="ar-SA"/>
              </w:rPr>
            </w:pPr>
            <w:r>
              <w:rPr>
                <w:rFonts w:eastAsia="Times New Roman" w:cs="Arial" w:ascii="Arial" w:hAnsi="Arial"/>
                <w:kern w:val="0"/>
                <w:sz w:val="20"/>
                <w:szCs w:val="20"/>
                <w:lang w:val="de-DE" w:eastAsia="de-DE" w:bidi="ar-SA"/>
              </w:rPr>
              <w:t>Die interessierten Unternehmen müssen für die Teilnahme am Verfahren den beigelegten Vordruck vollständig ausfüllen, digital unterzeichnen und an die Gemeinde U.lb.Frau im Walde – St. Felix, Gampenstr. 12, 39010 U.lb.Frau im Walde – St. Felix mittels PEC an</w:t>
            </w:r>
            <w:r>
              <w:rPr>
                <w:rFonts w:eastAsia="Times New Roman" w:cs="Arial" w:ascii="Arial" w:hAnsi="Arial"/>
                <w:color w:val="0000FF"/>
                <w:kern w:val="0"/>
                <w:sz w:val="20"/>
                <w:szCs w:val="20"/>
                <w:lang w:val="de-DE" w:eastAsia="de-DE" w:bidi="ar-SA"/>
              </w:rPr>
              <w:t xml:space="preserve"> </w:t>
            </w:r>
            <w:r>
              <w:rPr>
                <w:rFonts w:eastAsia="Times New Roman" w:cs="Arial" w:ascii="Arial" w:hAnsi="Arial"/>
                <w:kern w:val="0"/>
                <w:sz w:val="20"/>
                <w:szCs w:val="20"/>
                <w:lang w:val="de-DE" w:eastAsia="de-DE" w:bidi="ar-SA"/>
              </w:rPr>
              <w:t>ulfraustfelix.senalesanfelice@legalmail.it</w:t>
            </w:r>
            <w:r>
              <w:rPr>
                <w:rFonts w:eastAsia="Times New Roman" w:cs="Times New Roman"/>
                <w:kern w:val="0"/>
                <w:sz w:val="20"/>
                <w:szCs w:val="20"/>
                <w:lang w:val="de-DE" w:eastAsia="de-DE" w:bidi="ar-SA"/>
              </w:rPr>
              <w:t xml:space="preserve"> </w:t>
            </w:r>
            <w:r>
              <w:rPr>
                <w:rFonts w:eastAsia="Times New Roman" w:cs="Arial" w:ascii="Arial" w:hAnsi="Arial"/>
                <w:kern w:val="0"/>
                <w:sz w:val="20"/>
                <w:szCs w:val="20"/>
                <w:lang w:val="de-DE" w:eastAsia="de-DE" w:bidi="ar-SA"/>
              </w:rPr>
              <w:t>übermitteln.</w:t>
            </w:r>
          </w:p>
        </w:tc>
        <w:tc>
          <w:tcPr>
            <w:tcW w:w="568" w:type="dxa"/>
            <w:tcBorders>
              <w:top w:val="nil"/>
              <w:left w:val="nil"/>
              <w:bottom w:val="nil"/>
              <w:right w:val="nil"/>
            </w:tcBorders>
          </w:tcPr>
          <w:p>
            <w:pPr>
              <w:pStyle w:val="Normal"/>
              <w:widowControl/>
              <w:spacing w:before="0" w:after="0"/>
              <w:jc w:val="left"/>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c>
          <w:tcPr>
            <w:tcW w:w="4536" w:type="dxa"/>
            <w:tcBorders>
              <w:top w:val="nil"/>
              <w:left w:val="nil"/>
              <w:bottom w:val="nil"/>
              <w:right w:val="nil"/>
            </w:tcBorders>
          </w:tcPr>
          <w:p>
            <w:pPr>
              <w:pStyle w:val="Western"/>
              <w:widowControl/>
              <w:spacing w:lineRule="auto" w:line="240" w:before="0" w:after="0"/>
              <w:jc w:val="both"/>
              <w:rPr>
                <w:lang w:val="it-IT"/>
              </w:rPr>
            </w:pPr>
            <w:r>
              <w:rPr>
                <w:rFonts w:eastAsia="Times New Roman" w:cs="Arial" w:ascii="Arial" w:hAnsi="Arial"/>
                <w:kern w:val="0"/>
                <w:sz w:val="20"/>
                <w:szCs w:val="20"/>
                <w:lang w:val="it-IT" w:eastAsia="de-DE" w:bidi="ar-SA"/>
              </w:rPr>
              <w:t>Gli interessati devono inoltrare la propria domanda attraverso la compilazione in tutte le sue parti dell’apposito modulo in allegato, firmarlo digitalmente ed inoltrarlo tramite PEC al Comune di Senale – San Felice, via Palade 12, 39010 Senale – San Felice, all’indirizzo ulfraustfelix.senalesanfelice@legalmail.it</w:t>
            </w:r>
            <w:r>
              <w:rPr>
                <w:rFonts w:eastAsia="Times New Roman" w:cs="Arial" w:ascii="Arial" w:hAnsi="Arial"/>
                <w:color w:val="0000FF"/>
                <w:kern w:val="0"/>
                <w:sz w:val="20"/>
                <w:szCs w:val="20"/>
                <w:lang w:val="it-IT" w:eastAsia="de-DE" w:bidi="ar-SA"/>
              </w:rPr>
              <w:t>.</w:t>
            </w:r>
          </w:p>
        </w:tc>
      </w:tr>
      <w:tr>
        <w:trPr/>
        <w:tc>
          <w:tcPr>
            <w:tcW w:w="4530" w:type="dxa"/>
            <w:tcBorders>
              <w:top w:val="nil"/>
              <w:left w:val="nil"/>
              <w:bottom w:val="nil"/>
              <w:right w:val="nil"/>
            </w:tcBorders>
          </w:tcPr>
          <w:p>
            <w:pPr>
              <w:pStyle w:val="Normal"/>
              <w:widowControl/>
              <w:spacing w:before="0" w:after="0"/>
              <w:jc w:val="both"/>
              <w:rPr>
                <w:lang w:val="it-IT"/>
              </w:rPr>
            </w:pPr>
            <w:r>
              <w:rPr>
                <w:rFonts w:eastAsia="Times New Roman" w:cs="Times New Roman"/>
                <w:kern w:val="0"/>
                <w:lang w:val="de-DE" w:eastAsia="de-DE" w:bidi="ar-SA"/>
              </w:rPr>
            </w:r>
          </w:p>
        </w:tc>
        <w:tc>
          <w:tcPr>
            <w:tcW w:w="568"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4536"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r>
      <w:tr>
        <w:trPr/>
        <w:tc>
          <w:tcPr>
            <w:tcW w:w="4530" w:type="dxa"/>
            <w:tcBorders>
              <w:top w:val="nil"/>
              <w:left w:val="nil"/>
              <w:bottom w:val="nil"/>
              <w:right w:val="nil"/>
            </w:tcBorders>
          </w:tcPr>
          <w:p>
            <w:pPr>
              <w:pStyle w:val="Normal"/>
              <w:widowControl/>
              <w:spacing w:before="0" w:after="0"/>
              <w:jc w:val="both"/>
              <w:rPr>
                <w:rFonts w:eastAsia="Times New Roman"/>
                <w:kern w:val="0"/>
                <w:lang w:val="de-DE" w:eastAsia="de-DE" w:bidi="ar-SA"/>
              </w:rPr>
            </w:pPr>
            <w:r>
              <w:rPr>
                <w:rFonts w:eastAsia="Times New Roman" w:cs="Arial" w:ascii="Arial" w:hAnsi="Arial"/>
                <w:color w:val="000000"/>
                <w:kern w:val="0"/>
                <w:sz w:val="20"/>
                <w:szCs w:val="20"/>
                <w:lang w:val="de-DE" w:eastAsia="de-DE" w:bidi="ar-SA"/>
              </w:rPr>
              <w:t>Die Anlagen des gegenständlichen Einladungsschreibens können unter folgendem Link heruntergeladen werden:</w:t>
            </w:r>
          </w:p>
        </w:tc>
        <w:tc>
          <w:tcPr>
            <w:tcW w:w="568" w:type="dxa"/>
            <w:tcBorders>
              <w:top w:val="nil"/>
              <w:left w:val="nil"/>
              <w:bottom w:val="nil"/>
              <w:right w:val="nil"/>
            </w:tcBorders>
          </w:tcPr>
          <w:p>
            <w:pPr>
              <w:pStyle w:val="Normal"/>
              <w:widowControl/>
              <w:spacing w:before="0" w:after="0"/>
              <w:jc w:val="left"/>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c>
          <w:tcPr>
            <w:tcW w:w="4536" w:type="dxa"/>
            <w:tcBorders>
              <w:top w:val="nil"/>
              <w:left w:val="nil"/>
              <w:bottom w:val="nil"/>
              <w:right w:val="nil"/>
            </w:tcBorders>
          </w:tcPr>
          <w:p>
            <w:pPr>
              <w:pStyle w:val="Normal"/>
              <w:widowControl/>
              <w:spacing w:before="0" w:after="0"/>
              <w:jc w:val="both"/>
              <w:rPr>
                <w:lang w:val="it-IT"/>
              </w:rPr>
            </w:pPr>
            <w:r>
              <w:rPr>
                <w:rFonts w:eastAsia="Times New Roman" w:cs="Arial" w:ascii="Arial" w:hAnsi="Arial"/>
                <w:color w:val="000000"/>
                <w:kern w:val="0"/>
                <w:sz w:val="20"/>
                <w:szCs w:val="20"/>
                <w:lang w:val="it-IT" w:eastAsia="de-DE" w:bidi="ar-SA"/>
              </w:rPr>
              <w:t xml:space="preserve">Gli allegati della presente lettera d’invito possono essere scaricati dal seguente link: </w:t>
            </w:r>
          </w:p>
        </w:tc>
      </w:tr>
      <w:tr>
        <w:trPr/>
        <w:tc>
          <w:tcPr>
            <w:tcW w:w="4530" w:type="dxa"/>
            <w:tcBorders>
              <w:top w:val="nil"/>
              <w:left w:val="nil"/>
              <w:bottom w:val="nil"/>
              <w:right w:val="nil"/>
            </w:tcBorders>
          </w:tcPr>
          <w:p>
            <w:pPr>
              <w:pStyle w:val="Normal"/>
              <w:widowControl/>
              <w:spacing w:before="0" w:after="0"/>
              <w:jc w:val="both"/>
              <w:rPr>
                <w:rFonts w:ascii="Arial" w:hAnsi="Arial" w:cs="Arial"/>
                <w:color w:val="000000"/>
                <w:sz w:val="20"/>
                <w:szCs w:val="20"/>
                <w:lang w:val="it-IT"/>
              </w:rPr>
            </w:pPr>
            <w:r>
              <w:rPr>
                <w:rFonts w:eastAsia="Times New Roman" w:cs="Arial" w:ascii="Arial" w:hAnsi="Arial"/>
                <w:color w:val="000000"/>
                <w:kern w:val="0"/>
                <w:sz w:val="20"/>
                <w:szCs w:val="20"/>
                <w:lang w:val="de-DE" w:eastAsia="de-DE" w:bidi="ar-SA"/>
              </w:rPr>
            </w:r>
          </w:p>
        </w:tc>
        <w:tc>
          <w:tcPr>
            <w:tcW w:w="568"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4536"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r>
      <w:tr>
        <w:trPr/>
        <w:tc>
          <w:tcPr>
            <w:tcW w:w="9634" w:type="dxa"/>
            <w:gridSpan w:val="3"/>
            <w:tcBorders>
              <w:top w:val="nil"/>
              <w:left w:val="nil"/>
              <w:bottom w:val="nil"/>
              <w:right w:val="nil"/>
            </w:tcBorders>
          </w:tcPr>
          <w:p>
            <w:pPr>
              <w:pStyle w:val="Normal"/>
              <w:widowControl/>
              <w:spacing w:before="0" w:after="0"/>
              <w:jc w:val="center"/>
              <w:rPr>
                <w:b/>
                <w:b/>
                <w:bCs/>
                <w:lang w:val="it-IT"/>
              </w:rPr>
            </w:pPr>
            <w:hyperlink r:id="rId2">
              <w:r>
                <w:rPr>
                  <w:rStyle w:val="Internetverknpfung"/>
                  <w:rFonts w:eastAsia="Times New Roman" w:cs="Times New Roman"/>
                  <w:b/>
                  <w:bCs/>
                  <w:kern w:val="0"/>
                  <w:lang w:val="it-IT" w:eastAsia="de-DE" w:bidi="ar-SA"/>
                </w:rPr>
                <w:t>https://fshare.gvcc.net/vi/bpfekojoqgbFirpA99yF/Anlagen_Fhrenhain.zip</w:t>
              </w:r>
            </w:hyperlink>
            <w:r>
              <w:rPr>
                <w:rFonts w:eastAsia="Times New Roman" w:cs="Times New Roman"/>
                <w:b/>
                <w:bCs/>
                <w:kern w:val="0"/>
                <w:lang w:val="it-IT" w:eastAsia="de-DE" w:bidi="ar-SA"/>
              </w:rPr>
              <w:t xml:space="preserve"> </w:t>
            </w:r>
          </w:p>
        </w:tc>
      </w:tr>
      <w:tr>
        <w:trPr/>
        <w:tc>
          <w:tcPr>
            <w:tcW w:w="4530" w:type="dxa"/>
            <w:tcBorders>
              <w:top w:val="nil"/>
              <w:left w:val="nil"/>
              <w:bottom w:val="nil"/>
              <w:right w:val="nil"/>
            </w:tcBorders>
          </w:tcPr>
          <w:p>
            <w:pPr>
              <w:pStyle w:val="Normal"/>
              <w:widowControl/>
              <w:spacing w:before="0" w:after="0"/>
              <w:jc w:val="both"/>
              <w:rPr>
                <w:lang w:val="it-IT"/>
              </w:rPr>
            </w:pPr>
            <w:r>
              <w:rPr>
                <w:rFonts w:eastAsia="Times New Roman" w:cs="Times New Roman"/>
                <w:kern w:val="0"/>
                <w:lang w:val="de-DE" w:eastAsia="de-DE" w:bidi="ar-SA"/>
              </w:rPr>
            </w:r>
          </w:p>
        </w:tc>
        <w:tc>
          <w:tcPr>
            <w:tcW w:w="568"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4536"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r>
      <w:tr>
        <w:trPr/>
        <w:tc>
          <w:tcPr>
            <w:tcW w:w="4530" w:type="dxa"/>
            <w:tcBorders>
              <w:top w:val="nil"/>
              <w:left w:val="nil"/>
              <w:bottom w:val="nil"/>
              <w:right w:val="nil"/>
            </w:tcBorders>
          </w:tcPr>
          <w:p>
            <w:pPr>
              <w:pStyle w:val="Western"/>
              <w:widowControl/>
              <w:spacing w:lineRule="auto" w:line="240" w:before="0" w:after="0"/>
              <w:jc w:val="both"/>
              <w:rPr>
                <w:rFonts w:eastAsia="Times New Roman"/>
                <w:kern w:val="0"/>
                <w:lang w:val="de-DE" w:eastAsia="de-DE" w:bidi="ar-SA"/>
              </w:rPr>
            </w:pPr>
            <w:r>
              <w:rPr>
                <w:rFonts w:eastAsia="Times New Roman" w:cs="Arial" w:ascii="Arial" w:hAnsi="Arial"/>
                <w:kern w:val="0"/>
                <w:sz w:val="20"/>
                <w:szCs w:val="20"/>
                <w:lang w:val="de-DE" w:eastAsia="de-DE" w:bidi="ar-SA"/>
              </w:rPr>
              <w:t>Wenn innerhalb der Einreichfrist nur ein einziger Antrag eingeht und sofern die öffentliche Verwaltung die Einhaltung der Zulassungskriterien feststellt, kann sie das Baulos dem/r alleinigen Teilnehmer/in zuschlagen.</w:t>
            </w:r>
          </w:p>
        </w:tc>
        <w:tc>
          <w:tcPr>
            <w:tcW w:w="568" w:type="dxa"/>
            <w:tcBorders>
              <w:top w:val="nil"/>
              <w:left w:val="nil"/>
              <w:bottom w:val="nil"/>
              <w:right w:val="nil"/>
            </w:tcBorders>
          </w:tcPr>
          <w:p>
            <w:pPr>
              <w:pStyle w:val="Normal"/>
              <w:widowControl/>
              <w:spacing w:before="0" w:after="0"/>
              <w:jc w:val="left"/>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c>
          <w:tcPr>
            <w:tcW w:w="4536" w:type="dxa"/>
            <w:tcBorders>
              <w:top w:val="nil"/>
              <w:left w:val="nil"/>
              <w:bottom w:val="nil"/>
              <w:right w:val="nil"/>
            </w:tcBorders>
          </w:tcPr>
          <w:p>
            <w:pPr>
              <w:pStyle w:val="Western"/>
              <w:widowControl/>
              <w:spacing w:lineRule="auto" w:line="240" w:before="0" w:after="0"/>
              <w:jc w:val="both"/>
              <w:rPr>
                <w:lang w:val="it-IT"/>
              </w:rPr>
            </w:pPr>
            <w:r>
              <w:rPr>
                <w:rFonts w:eastAsia="Times New Roman" w:cs="Arial" w:ascii="Arial" w:hAnsi="Arial"/>
                <w:kern w:val="0"/>
                <w:sz w:val="20"/>
                <w:szCs w:val="20"/>
                <w:lang w:val="it-IT" w:eastAsia="de-DE" w:bidi="ar-SA"/>
              </w:rPr>
              <w:t>Qualora entro il termine perentorio pervenga una sola domanda, l’amministrazione provvede ai controlli in merito ai requisiti di partecipazione alla procedura, e se tali requisiti sussistono, può aggiudicare all’unica/o partecipante.</w:t>
            </w:r>
          </w:p>
        </w:tc>
      </w:tr>
      <w:tr>
        <w:trPr/>
        <w:tc>
          <w:tcPr>
            <w:tcW w:w="4530" w:type="dxa"/>
            <w:tcBorders>
              <w:top w:val="nil"/>
              <w:left w:val="nil"/>
              <w:bottom w:val="nil"/>
              <w:right w:val="nil"/>
            </w:tcBorders>
          </w:tcPr>
          <w:p>
            <w:pPr>
              <w:pStyle w:val="Normal"/>
              <w:widowControl/>
              <w:spacing w:before="0" w:after="0"/>
              <w:jc w:val="both"/>
              <w:rPr>
                <w:lang w:val="it-IT"/>
              </w:rPr>
            </w:pPr>
            <w:r>
              <w:rPr>
                <w:rFonts w:eastAsia="Times New Roman" w:cs="Times New Roman"/>
                <w:kern w:val="0"/>
                <w:lang w:val="de-DE" w:eastAsia="de-DE" w:bidi="ar-SA"/>
              </w:rPr>
            </w:r>
          </w:p>
        </w:tc>
        <w:tc>
          <w:tcPr>
            <w:tcW w:w="568"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4536"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r>
      <w:tr>
        <w:trPr/>
        <w:tc>
          <w:tcPr>
            <w:tcW w:w="4530" w:type="dxa"/>
            <w:tcBorders>
              <w:top w:val="nil"/>
              <w:left w:val="nil"/>
              <w:bottom w:val="nil"/>
              <w:right w:val="nil"/>
            </w:tcBorders>
          </w:tcPr>
          <w:p>
            <w:pPr>
              <w:pStyle w:val="Western"/>
              <w:widowControl/>
              <w:spacing w:lineRule="auto" w:line="240" w:before="0" w:after="0"/>
              <w:jc w:val="both"/>
              <w:rPr>
                <w:rFonts w:eastAsia="Times New Roman"/>
                <w:kern w:val="0"/>
                <w:lang w:val="de-DE" w:eastAsia="de-DE" w:bidi="ar-SA"/>
              </w:rPr>
            </w:pPr>
            <w:r>
              <w:rPr>
                <w:rFonts w:eastAsia="Times New Roman" w:cs="Arial" w:ascii="Arial" w:hAnsi="Arial"/>
                <w:kern w:val="0"/>
                <w:sz w:val="20"/>
                <w:szCs w:val="20"/>
                <w:lang w:val="de-DE" w:eastAsia="de-DE" w:bidi="ar-SA"/>
              </w:rPr>
              <w:t xml:space="preserve">Falls mehr als ein Antrag eingereicht wird, wird die Gemeinde U.lb.Frau im Walde – St. Felix die Liegenschaft mit einem </w:t>
            </w:r>
            <w:r>
              <w:rPr>
                <w:rFonts w:eastAsia="Times New Roman" w:cs="Arial" w:ascii="Arial" w:hAnsi="Arial"/>
                <w:kern w:val="0"/>
                <w:sz w:val="20"/>
                <w:szCs w:val="20"/>
                <w:u w:val="single"/>
                <w:lang w:val="de-DE" w:eastAsia="de-DE" w:bidi="ar-SA"/>
              </w:rPr>
              <w:t>öffentlichen Auswahlverfahren mittels Interessensbekundung für die Liegenschaft</w:t>
            </w:r>
            <w:r>
              <w:rPr>
                <w:rFonts w:eastAsia="Times New Roman" w:cs="Arial" w:ascii="Arial" w:hAnsi="Arial"/>
                <w:kern w:val="0"/>
                <w:sz w:val="20"/>
                <w:szCs w:val="20"/>
                <w:lang w:val="de-DE" w:eastAsia="de-DE" w:bidi="ar-SA"/>
              </w:rPr>
              <w:t xml:space="preserve"> veräußern und der Zuschlag wird an den Bieter mit den qualitativ besten Voraussetzungen erteilt.</w:t>
            </w:r>
          </w:p>
        </w:tc>
        <w:tc>
          <w:tcPr>
            <w:tcW w:w="568" w:type="dxa"/>
            <w:tcBorders>
              <w:top w:val="nil"/>
              <w:left w:val="nil"/>
              <w:bottom w:val="nil"/>
              <w:right w:val="nil"/>
            </w:tcBorders>
          </w:tcPr>
          <w:p>
            <w:pPr>
              <w:pStyle w:val="Normal"/>
              <w:widowControl/>
              <w:spacing w:before="0" w:after="0"/>
              <w:jc w:val="left"/>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c>
          <w:tcPr>
            <w:tcW w:w="4536" w:type="dxa"/>
            <w:tcBorders>
              <w:top w:val="nil"/>
              <w:left w:val="nil"/>
              <w:bottom w:val="nil"/>
              <w:right w:val="nil"/>
            </w:tcBorders>
          </w:tcPr>
          <w:p>
            <w:pPr>
              <w:pStyle w:val="Western"/>
              <w:widowControl/>
              <w:spacing w:lineRule="auto" w:line="240" w:before="0" w:after="0"/>
              <w:jc w:val="both"/>
              <w:rPr>
                <w:lang w:val="it-IT"/>
              </w:rPr>
            </w:pPr>
            <w:r>
              <w:rPr>
                <w:rFonts w:eastAsia="Times New Roman" w:cs="Arial" w:ascii="Arial" w:hAnsi="Arial"/>
                <w:kern w:val="0"/>
                <w:sz w:val="20"/>
                <w:szCs w:val="20"/>
                <w:lang w:val="it-IT" w:eastAsia="de-DE" w:bidi="ar-SA"/>
              </w:rPr>
              <w:t xml:space="preserve">Nel caso in cui pervenga più di una domanda, l’amministrazione provvederà ad alienare l’immobile tramite una </w:t>
            </w:r>
            <w:r>
              <w:rPr>
                <w:rFonts w:eastAsia="Times New Roman" w:cs="Arial" w:ascii="Arial" w:hAnsi="Arial"/>
                <w:kern w:val="0"/>
                <w:sz w:val="20"/>
                <w:szCs w:val="20"/>
                <w:u w:val="single"/>
                <w:lang w:val="it-IT" w:eastAsia="de-DE" w:bidi="ar-SA"/>
              </w:rPr>
              <w:t>procedura ad evidenza pubblica mediante manifestazione di interesse per l’immobile</w:t>
            </w:r>
            <w:r>
              <w:rPr>
                <w:rFonts w:eastAsia="Times New Roman" w:cs="Arial" w:ascii="Arial" w:hAnsi="Arial"/>
                <w:kern w:val="0"/>
                <w:sz w:val="20"/>
                <w:szCs w:val="20"/>
                <w:lang w:val="it-IT" w:eastAsia="de-DE" w:bidi="ar-SA"/>
              </w:rPr>
              <w:t xml:space="preserve">, la quale verrà aggiudicata all’offerente con i requisiti qualitativi migliori. </w:t>
            </w:r>
          </w:p>
          <w:p>
            <w:pPr>
              <w:pStyle w:val="Normal"/>
              <w:widowControl/>
              <w:spacing w:before="0" w:after="0"/>
              <w:jc w:val="left"/>
              <w:rPr>
                <w:lang w:val="it-IT"/>
              </w:rPr>
            </w:pPr>
            <w:r>
              <w:rPr>
                <w:rFonts w:eastAsia="Times New Roman" w:cs="Times New Roman"/>
                <w:kern w:val="0"/>
                <w:lang w:val="de-DE" w:eastAsia="de-DE" w:bidi="ar-SA"/>
              </w:rPr>
            </w:r>
          </w:p>
        </w:tc>
      </w:tr>
      <w:tr>
        <w:trPr/>
        <w:tc>
          <w:tcPr>
            <w:tcW w:w="4530"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568"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c>
          <w:tcPr>
            <w:tcW w:w="4536" w:type="dxa"/>
            <w:tcBorders>
              <w:top w:val="nil"/>
              <w:left w:val="nil"/>
              <w:bottom w:val="nil"/>
              <w:right w:val="nil"/>
            </w:tcBorders>
          </w:tcPr>
          <w:p>
            <w:pPr>
              <w:pStyle w:val="Normal"/>
              <w:widowControl/>
              <w:spacing w:before="0" w:after="0"/>
              <w:jc w:val="left"/>
              <w:rPr>
                <w:lang w:val="it-IT"/>
              </w:rPr>
            </w:pPr>
            <w:r>
              <w:rPr>
                <w:rFonts w:eastAsia="Times New Roman" w:cs="Times New Roman"/>
                <w:kern w:val="0"/>
                <w:lang w:val="de-DE" w:eastAsia="de-DE" w:bidi="ar-SA"/>
              </w:rPr>
            </w:r>
          </w:p>
        </w:tc>
      </w:tr>
      <w:tr>
        <w:trPr/>
        <w:tc>
          <w:tcPr>
            <w:tcW w:w="9634" w:type="dxa"/>
            <w:gridSpan w:val="3"/>
            <w:tcBorders>
              <w:top w:val="nil"/>
              <w:left w:val="nil"/>
              <w:bottom w:val="nil"/>
              <w:right w:val="nil"/>
            </w:tcBorders>
          </w:tcPr>
          <w:p>
            <w:pPr>
              <w:pStyle w:val="Western"/>
              <w:widowControl/>
              <w:spacing w:lineRule="auto" w:line="240" w:before="0" w:after="0"/>
              <w:jc w:val="center"/>
              <w:rPr>
                <w:rFonts w:eastAsia="Times New Roman"/>
                <w:kern w:val="0"/>
                <w:lang w:val="de-DE" w:eastAsia="de-DE" w:bidi="ar-SA"/>
              </w:rPr>
            </w:pPr>
            <w:r>
              <w:rPr>
                <w:rFonts w:eastAsia="Times New Roman" w:cs="Arial" w:ascii="Arial" w:hAnsi="Arial"/>
                <w:kern w:val="0"/>
                <w:sz w:val="20"/>
                <w:szCs w:val="20"/>
                <w:lang w:val="de-DE" w:eastAsia="de-DE" w:bidi="ar-SA"/>
              </w:rPr>
              <w:t xml:space="preserve">DIE BÜRGERMEISTERIN/LA SINDACA </w:t>
            </w:r>
          </w:p>
        </w:tc>
      </w:tr>
      <w:tr>
        <w:trPr/>
        <w:tc>
          <w:tcPr>
            <w:tcW w:w="9634" w:type="dxa"/>
            <w:gridSpan w:val="3"/>
            <w:tcBorders>
              <w:top w:val="nil"/>
              <w:left w:val="nil"/>
              <w:bottom w:val="nil"/>
              <w:right w:val="nil"/>
            </w:tcBorders>
          </w:tcPr>
          <w:p>
            <w:pPr>
              <w:pStyle w:val="Western"/>
              <w:widowControl/>
              <w:spacing w:lineRule="auto" w:line="240" w:before="0" w:after="0"/>
              <w:jc w:val="center"/>
              <w:rPr>
                <w:rFonts w:ascii="Arial" w:hAnsi="Arial" w:cs="Arial"/>
                <w:sz w:val="20"/>
                <w:szCs w:val="20"/>
              </w:rPr>
            </w:pPr>
            <w:r>
              <w:rPr>
                <w:rFonts w:eastAsia="Times New Roman" w:cs="Arial" w:ascii="Arial" w:hAnsi="Arial"/>
                <w:kern w:val="0"/>
                <w:sz w:val="20"/>
                <w:szCs w:val="20"/>
                <w:lang w:val="de-DE" w:eastAsia="de-DE" w:bidi="ar-SA"/>
              </w:rPr>
            </w:r>
          </w:p>
          <w:p>
            <w:pPr>
              <w:pStyle w:val="Western"/>
              <w:widowControl/>
              <w:spacing w:lineRule="auto" w:line="240" w:before="280" w:after="0"/>
              <w:jc w:val="center"/>
              <w:rPr>
                <w:rFonts w:eastAsia="Times New Roman"/>
                <w:kern w:val="0"/>
                <w:lang w:val="de-DE" w:eastAsia="de-DE" w:bidi="ar-SA"/>
              </w:rPr>
            </w:pPr>
            <w:r>
              <w:rPr>
                <w:rFonts w:eastAsia="Times New Roman" w:cs="Arial" w:ascii="Arial" w:hAnsi="Arial"/>
                <w:kern w:val="0"/>
                <w:sz w:val="20"/>
                <w:szCs w:val="20"/>
                <w:lang w:val="de-DE" w:eastAsia="de-DE" w:bidi="ar-SA"/>
              </w:rPr>
              <w:t>Gabriela Kofler</w:t>
            </w:r>
          </w:p>
          <w:p>
            <w:pPr>
              <w:pStyle w:val="Western"/>
              <w:widowControl/>
              <w:spacing w:lineRule="auto" w:line="240" w:before="280" w:after="0"/>
              <w:jc w:val="center"/>
              <w:rPr>
                <w:rFonts w:eastAsia="Times New Roman"/>
                <w:kern w:val="0"/>
                <w:lang w:val="de-DE" w:eastAsia="de-DE" w:bidi="ar-SA"/>
              </w:rPr>
            </w:pPr>
            <w:r>
              <w:rPr>
                <w:rFonts w:eastAsia="Times New Roman" w:cs="Arial" w:ascii="Arial" w:hAnsi="Arial"/>
                <w:kern w:val="0"/>
                <w:sz w:val="20"/>
                <w:szCs w:val="20"/>
                <w:lang w:val="de-DE" w:eastAsia="de-DE" w:bidi="ar-SA"/>
              </w:rPr>
              <w:t>(digital unterzeichnet/firmato digitalmente)</w:t>
            </w:r>
          </w:p>
        </w:tc>
      </w:tr>
      <w:tr>
        <w:trPr/>
        <w:tc>
          <w:tcPr>
            <w:tcW w:w="4530" w:type="dxa"/>
            <w:tcBorders>
              <w:top w:val="nil"/>
              <w:left w:val="nil"/>
              <w:bottom w:val="nil"/>
              <w:right w:val="nil"/>
            </w:tcBorders>
          </w:tcPr>
          <w:p>
            <w:pPr>
              <w:pStyle w:val="Normal"/>
              <w:widowControl/>
              <w:spacing w:before="0" w:after="0"/>
              <w:jc w:val="left"/>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c>
          <w:tcPr>
            <w:tcW w:w="568" w:type="dxa"/>
            <w:tcBorders>
              <w:top w:val="nil"/>
              <w:left w:val="nil"/>
              <w:bottom w:val="nil"/>
              <w:right w:val="nil"/>
            </w:tcBorders>
          </w:tcPr>
          <w:p>
            <w:pPr>
              <w:pStyle w:val="Normal"/>
              <w:widowControl/>
              <w:spacing w:before="0" w:after="0"/>
              <w:jc w:val="left"/>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c>
          <w:tcPr>
            <w:tcW w:w="4536" w:type="dxa"/>
            <w:tcBorders>
              <w:top w:val="nil"/>
              <w:left w:val="nil"/>
              <w:bottom w:val="nil"/>
              <w:right w:val="nil"/>
            </w:tcBorders>
          </w:tcPr>
          <w:p>
            <w:pPr>
              <w:pStyle w:val="Normal"/>
              <w:widowControl/>
              <w:spacing w:before="0" w:after="0"/>
              <w:jc w:val="left"/>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r>
      <w:tr>
        <w:trPr/>
        <w:tc>
          <w:tcPr>
            <w:tcW w:w="4530" w:type="dxa"/>
            <w:tcBorders>
              <w:top w:val="nil"/>
              <w:left w:val="nil"/>
              <w:bottom w:val="nil"/>
              <w:right w:val="nil"/>
            </w:tcBorders>
          </w:tcPr>
          <w:p>
            <w:pPr>
              <w:pStyle w:val="Western"/>
              <w:widowControl/>
              <w:spacing w:lineRule="auto" w:line="240" w:before="0" w:after="0"/>
              <w:jc w:val="both"/>
              <w:rPr>
                <w:rFonts w:eastAsia="Times New Roman"/>
                <w:kern w:val="0"/>
                <w:lang w:val="de-DE" w:eastAsia="de-DE" w:bidi="ar-SA"/>
              </w:rPr>
            </w:pPr>
            <w:r>
              <w:rPr>
                <w:rFonts w:eastAsia="Times New Roman" w:cs="Arial" w:ascii="Arial" w:hAnsi="Arial"/>
                <w:kern w:val="0"/>
                <w:sz w:val="20"/>
                <w:szCs w:val="20"/>
                <w:lang w:val="de-DE" w:eastAsia="de-DE" w:bidi="ar-SA"/>
              </w:rPr>
              <w:t>Anlagen:</w:t>
            </w:r>
          </w:p>
          <w:p>
            <w:pPr>
              <w:pStyle w:val="Western"/>
              <w:widowControl/>
              <w:numPr>
                <w:ilvl w:val="0"/>
                <w:numId w:val="2"/>
              </w:numPr>
              <w:spacing w:lineRule="auto" w:line="240" w:before="280" w:after="0"/>
              <w:jc w:val="both"/>
              <w:rPr>
                <w:rFonts w:eastAsia="Times New Roman"/>
                <w:kern w:val="0"/>
                <w:lang w:val="de-DE" w:eastAsia="de-DE" w:bidi="ar-SA"/>
              </w:rPr>
            </w:pPr>
            <w:r>
              <w:rPr>
                <w:rFonts w:eastAsia="Times New Roman" w:cs="Arial" w:ascii="Arial" w:hAnsi="Arial"/>
                <w:kern w:val="0"/>
                <w:sz w:val="20"/>
                <w:szCs w:val="20"/>
                <w:lang w:val="de-DE" w:eastAsia="de-DE" w:bidi="ar-SA"/>
              </w:rPr>
              <w:t>Vergaberichtlinien</w:t>
            </w:r>
          </w:p>
          <w:p>
            <w:pPr>
              <w:pStyle w:val="Western"/>
              <w:widowControl/>
              <w:numPr>
                <w:ilvl w:val="0"/>
                <w:numId w:val="2"/>
              </w:numPr>
              <w:spacing w:lineRule="auto" w:line="240" w:before="0" w:after="0"/>
              <w:jc w:val="both"/>
              <w:rPr>
                <w:rFonts w:eastAsia="Times New Roman"/>
                <w:kern w:val="0"/>
                <w:lang w:val="de-DE" w:eastAsia="de-DE" w:bidi="ar-SA"/>
              </w:rPr>
            </w:pPr>
            <w:r>
              <w:rPr>
                <w:rFonts w:eastAsia="Times New Roman" w:cs="Arial" w:ascii="Arial" w:hAnsi="Arial"/>
                <w:kern w:val="0"/>
                <w:sz w:val="20"/>
                <w:szCs w:val="20"/>
                <w:lang w:val="de-DE" w:eastAsia="de-DE" w:bidi="ar-SA"/>
              </w:rPr>
              <w:t>Technisches Datenblatt (Grundbuchsauszug und Mappenauszug der Gp. 1899/7, 1899/10, 1900/9 und 1900/14 K.G. St. Felix)</w:t>
            </w:r>
          </w:p>
          <w:p>
            <w:pPr>
              <w:pStyle w:val="Western"/>
              <w:widowControl/>
              <w:numPr>
                <w:ilvl w:val="0"/>
                <w:numId w:val="2"/>
              </w:numPr>
              <w:spacing w:lineRule="auto" w:line="240" w:before="0" w:after="0"/>
              <w:jc w:val="both"/>
              <w:rPr>
                <w:rFonts w:eastAsia="Times New Roman"/>
                <w:kern w:val="0"/>
                <w:lang w:val="de-DE" w:eastAsia="de-DE" w:bidi="ar-SA"/>
              </w:rPr>
            </w:pPr>
            <w:r>
              <w:rPr>
                <w:rFonts w:eastAsia="Times New Roman" w:cs="Arial" w:ascii="Arial" w:hAnsi="Arial"/>
                <w:kern w:val="0"/>
                <w:sz w:val="20"/>
                <w:szCs w:val="20"/>
                <w:lang w:val="de-DE" w:eastAsia="de-DE" w:bidi="ar-SA"/>
              </w:rPr>
              <w:t>Auswahlkriterien</w:t>
            </w:r>
          </w:p>
          <w:p>
            <w:pPr>
              <w:pStyle w:val="Western"/>
              <w:widowControl/>
              <w:numPr>
                <w:ilvl w:val="0"/>
                <w:numId w:val="2"/>
              </w:numPr>
              <w:spacing w:lineRule="auto" w:line="240" w:before="0" w:after="0"/>
              <w:jc w:val="both"/>
              <w:rPr>
                <w:rFonts w:eastAsia="Times New Roman"/>
                <w:kern w:val="0"/>
                <w:lang w:val="de-DE" w:eastAsia="de-DE" w:bidi="ar-SA"/>
              </w:rPr>
            </w:pPr>
            <w:r>
              <w:rPr>
                <w:rFonts w:eastAsia="Times New Roman" w:cs="Arial" w:ascii="Arial" w:hAnsi="Arial"/>
                <w:kern w:val="0"/>
                <w:sz w:val="20"/>
                <w:szCs w:val="20"/>
                <w:lang w:val="de-DE" w:eastAsia="de-DE" w:bidi="ar-SA"/>
              </w:rPr>
              <w:t>Vordruck für die Teilnahme am Verfahren</w:t>
            </w:r>
          </w:p>
        </w:tc>
        <w:tc>
          <w:tcPr>
            <w:tcW w:w="568" w:type="dxa"/>
            <w:tcBorders>
              <w:top w:val="nil"/>
              <w:left w:val="nil"/>
              <w:bottom w:val="nil"/>
              <w:right w:val="nil"/>
            </w:tcBorders>
          </w:tcPr>
          <w:p>
            <w:pPr>
              <w:pStyle w:val="Normal"/>
              <w:widowControl/>
              <w:spacing w:before="0" w:after="0"/>
              <w:jc w:val="both"/>
              <w:rPr>
                <w:rFonts w:ascii="Times New Roman" w:hAnsi="Times New Roman" w:eastAsia="Times New Roman" w:cs="Times New Roman"/>
                <w:kern w:val="0"/>
                <w:lang w:val="de-DE" w:eastAsia="de-DE" w:bidi="ar-SA"/>
              </w:rPr>
            </w:pPr>
            <w:r>
              <w:rPr>
                <w:rFonts w:eastAsia="Times New Roman" w:cs="Times New Roman"/>
                <w:kern w:val="0"/>
                <w:lang w:val="de-DE" w:eastAsia="de-DE" w:bidi="ar-SA"/>
              </w:rPr>
            </w:r>
          </w:p>
        </w:tc>
        <w:tc>
          <w:tcPr>
            <w:tcW w:w="4536" w:type="dxa"/>
            <w:tcBorders>
              <w:top w:val="nil"/>
              <w:left w:val="nil"/>
              <w:bottom w:val="nil"/>
              <w:right w:val="nil"/>
            </w:tcBorders>
          </w:tcPr>
          <w:p>
            <w:pPr>
              <w:pStyle w:val="Western"/>
              <w:widowControl/>
              <w:spacing w:lineRule="auto" w:line="240" w:before="0" w:after="0"/>
              <w:jc w:val="both"/>
              <w:rPr>
                <w:rFonts w:ascii="Arial" w:hAnsi="Arial" w:cs="Arial"/>
                <w:sz w:val="20"/>
                <w:szCs w:val="20"/>
                <w:lang w:val="it-IT"/>
              </w:rPr>
            </w:pPr>
            <w:r>
              <w:rPr>
                <w:rFonts w:eastAsia="Times New Roman" w:cs="Arial" w:ascii="Arial" w:hAnsi="Arial"/>
                <w:kern w:val="0"/>
                <w:sz w:val="20"/>
                <w:szCs w:val="20"/>
                <w:lang w:val="it-IT" w:eastAsia="de-DE" w:bidi="ar-SA"/>
              </w:rPr>
              <w:t>Allegati:</w:t>
            </w:r>
          </w:p>
          <w:p>
            <w:pPr>
              <w:pStyle w:val="Western"/>
              <w:widowControl/>
              <w:numPr>
                <w:ilvl w:val="0"/>
                <w:numId w:val="4"/>
              </w:numPr>
              <w:spacing w:lineRule="auto" w:line="240" w:before="280" w:after="0"/>
              <w:jc w:val="both"/>
              <w:rPr>
                <w:rFonts w:ascii="Arial" w:hAnsi="Arial" w:cs="Arial"/>
                <w:sz w:val="20"/>
                <w:szCs w:val="20"/>
                <w:lang w:val="it-IT"/>
              </w:rPr>
            </w:pPr>
            <w:r>
              <w:rPr>
                <w:rFonts w:eastAsia="Times New Roman" w:cs="Arial" w:ascii="Arial" w:hAnsi="Arial"/>
                <w:kern w:val="0"/>
                <w:sz w:val="20"/>
                <w:szCs w:val="20"/>
                <w:lang w:val="it-IT" w:eastAsia="de-DE" w:bidi="ar-SA"/>
              </w:rPr>
              <w:t>Disciplinare</w:t>
            </w:r>
          </w:p>
          <w:p>
            <w:pPr>
              <w:pStyle w:val="Western"/>
              <w:widowControl/>
              <w:numPr>
                <w:ilvl w:val="0"/>
                <w:numId w:val="4"/>
              </w:numPr>
              <w:spacing w:lineRule="auto" w:line="240" w:before="0" w:after="0"/>
              <w:jc w:val="both"/>
              <w:rPr>
                <w:rFonts w:ascii="Arial" w:hAnsi="Arial" w:cs="Arial"/>
                <w:sz w:val="20"/>
                <w:szCs w:val="20"/>
                <w:lang w:val="it-IT"/>
              </w:rPr>
            </w:pPr>
            <w:r>
              <w:rPr>
                <w:rFonts w:eastAsia="Times New Roman" w:cs="Arial" w:ascii="Arial" w:hAnsi="Arial"/>
                <w:kern w:val="0"/>
                <w:sz w:val="20"/>
                <w:szCs w:val="20"/>
                <w:lang w:val="it-IT" w:eastAsia="de-DE" w:bidi="ar-SA"/>
              </w:rPr>
              <w:t>Scheda tecnica del lotto (estratto del libro maestro (libro fondiario) ed estratto mappa della pp.ff. 1899/7, 1899/10, 1900/9 e 1900/14 C.C. San Felice)</w:t>
            </w:r>
          </w:p>
          <w:p>
            <w:pPr>
              <w:pStyle w:val="Western"/>
              <w:widowControl/>
              <w:numPr>
                <w:ilvl w:val="0"/>
                <w:numId w:val="4"/>
              </w:numPr>
              <w:spacing w:lineRule="auto" w:line="240" w:before="0" w:after="0"/>
              <w:jc w:val="both"/>
              <w:rPr>
                <w:rFonts w:ascii="Arial" w:hAnsi="Arial" w:cs="Arial"/>
                <w:sz w:val="20"/>
                <w:szCs w:val="20"/>
                <w:lang w:val="it-IT"/>
              </w:rPr>
            </w:pPr>
            <w:r>
              <w:rPr>
                <w:rFonts w:eastAsia="Times New Roman" w:cs="Arial" w:ascii="Arial" w:hAnsi="Arial"/>
                <w:kern w:val="0"/>
                <w:sz w:val="20"/>
                <w:szCs w:val="20"/>
                <w:lang w:val="it-IT" w:eastAsia="de-DE" w:bidi="ar-SA"/>
              </w:rPr>
              <w:t>Criteri di scelta</w:t>
            </w:r>
          </w:p>
          <w:p>
            <w:pPr>
              <w:pStyle w:val="Western"/>
              <w:widowControl/>
              <w:numPr>
                <w:ilvl w:val="0"/>
                <w:numId w:val="4"/>
              </w:numPr>
              <w:spacing w:lineRule="auto" w:line="240" w:before="0" w:after="0"/>
              <w:jc w:val="both"/>
              <w:rPr>
                <w:rFonts w:ascii="Arial" w:hAnsi="Arial" w:cs="Arial"/>
                <w:sz w:val="20"/>
                <w:szCs w:val="20"/>
                <w:lang w:val="it-IT"/>
              </w:rPr>
            </w:pPr>
            <w:r>
              <w:rPr>
                <w:rFonts w:eastAsia="Times New Roman" w:cs="Arial" w:ascii="Arial" w:hAnsi="Arial"/>
                <w:kern w:val="0"/>
                <w:sz w:val="20"/>
                <w:szCs w:val="20"/>
                <w:lang w:val="it-IT" w:eastAsia="de-DE" w:bidi="ar-SA"/>
              </w:rPr>
              <w:t>Modulo per la partecipazione alla procedura</w:t>
            </w:r>
          </w:p>
          <w:p>
            <w:pPr>
              <w:pStyle w:val="Normal"/>
              <w:widowControl/>
              <w:spacing w:before="0" w:after="0"/>
              <w:jc w:val="both"/>
              <w:rPr>
                <w:lang w:val="it-IT"/>
              </w:rPr>
            </w:pPr>
            <w:r>
              <w:rPr>
                <w:rFonts w:eastAsia="Times New Roman" w:cs="Times New Roman"/>
                <w:kern w:val="0"/>
                <w:lang w:val="de-DE" w:eastAsia="de-DE" w:bidi="ar-SA"/>
              </w:rPr>
            </w:r>
          </w:p>
        </w:tc>
      </w:tr>
    </w:tbl>
    <w:p>
      <w:pPr>
        <w:pStyle w:val="Normal"/>
        <w:rPr>
          <w:lang w:val="it-IT"/>
        </w:rPr>
      </w:pPr>
      <w:r>
        <w:rPr/>
      </w:r>
    </w:p>
    <w:sectPr>
      <w:headerReference w:type="default" r:id="rId3"/>
      <w:type w:val="nextPage"/>
      <w:pgSz w:w="11906" w:h="16838"/>
      <w:pgMar w:left="1417" w:right="1417" w:header="708" w:top="1417"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ahoma">
    <w:charset w:val="00"/>
    <w:family w:val="roman"/>
    <w:pitch w:val="variable"/>
  </w:font>
  <w:font w:name="Arial">
    <w:charset w:val="00"/>
    <w:family w:val="roman"/>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Kopfzeile"/>
      <w:rPr/>
    </w:pPr>
    <w:r>
      <w:rPr/>
    </w:r>
  </w:p>
  <w:tbl>
    <w:tblPr>
      <w:tblW w:w="9639" w:type="dxa"/>
      <w:jc w:val="left"/>
      <w:tblInd w:w="0" w:type="dxa"/>
      <w:tblLayout w:type="fixed"/>
      <w:tblCellMar>
        <w:top w:w="0" w:type="dxa"/>
        <w:left w:w="0" w:type="dxa"/>
        <w:bottom w:w="0" w:type="dxa"/>
        <w:right w:w="0" w:type="dxa"/>
      </w:tblCellMar>
      <w:tblLook w:firstRow="0" w:noVBand="0" w:lastRow="0" w:firstColumn="0" w:lastColumn="0" w:noHBand="0" w:val="0000"/>
    </w:tblPr>
    <w:tblGrid>
      <w:gridCol w:w="3515"/>
      <w:gridCol w:w="29"/>
      <w:gridCol w:w="1275"/>
      <w:gridCol w:w="1276"/>
      <w:gridCol w:w="3543"/>
    </w:tblGrid>
    <w:tr>
      <w:trPr>
        <w:trHeight w:val="120" w:hRule="atLeast"/>
        <w:cantSplit w:val="true"/>
      </w:trPr>
      <w:tc>
        <w:tcPr>
          <w:tcW w:w="3515" w:type="dxa"/>
          <w:tcBorders>
            <w:bottom w:val="single" w:sz="2" w:space="0" w:color="000000"/>
          </w:tcBorders>
          <w:shd w:color="auto" w:fill="auto" w:val="clear"/>
        </w:tcPr>
        <w:p>
          <w:pPr>
            <w:pStyle w:val="Normal"/>
            <w:widowControl w:val="false"/>
            <w:jc w:val="center"/>
            <w:rPr/>
          </w:pPr>
          <w:r>
            <w:rPr/>
          </w:r>
        </w:p>
        <w:p>
          <w:pPr>
            <w:pStyle w:val="Normal"/>
            <w:widowControl w:val="false"/>
            <w:jc w:val="center"/>
            <w:rPr>
              <w:b/>
              <w:b/>
            </w:rPr>
          </w:pPr>
          <w:r>
            <w:rPr>
              <w:b/>
            </w:rPr>
            <w:t>Gemeinde</w:t>
          </w:r>
        </w:p>
        <w:p>
          <w:pPr>
            <w:pStyle w:val="Normal"/>
            <w:widowControl w:val="false"/>
            <w:jc w:val="center"/>
            <w:rPr>
              <w:b/>
              <w:b/>
            </w:rPr>
          </w:pPr>
          <w:r>
            <w:rPr>
              <w:b/>
            </w:rPr>
            <w:t>U.lb.Frau im Walde - St. Felix</w:t>
          </w:r>
        </w:p>
        <w:p>
          <w:pPr>
            <w:pStyle w:val="Normal"/>
            <w:widowControl w:val="false"/>
            <w:jc w:val="center"/>
            <w:rPr/>
          </w:pPr>
          <w:r>
            <w:rPr/>
          </w:r>
        </w:p>
        <w:p>
          <w:pPr>
            <w:pStyle w:val="Normal"/>
            <w:widowControl w:val="false"/>
            <w:jc w:val="center"/>
            <w:rPr>
              <w:sz w:val="16"/>
              <w:lang w:val="it-IT"/>
            </w:rPr>
          </w:pPr>
          <w:bookmarkStart w:id="1" w:name="__DdeLink__99_2141366587"/>
          <w:bookmarkEnd w:id="1"/>
          <w:r>
            <w:rPr>
              <w:sz w:val="16"/>
              <w:lang w:val="it-IT"/>
            </w:rPr>
            <w:t>Autonome Provinz Bozen - Südtirol</w:t>
          </w:r>
        </w:p>
      </w:tc>
      <w:tc>
        <w:tcPr>
          <w:tcW w:w="1304" w:type="dxa"/>
          <w:gridSpan w:val="2"/>
          <w:tcBorders>
            <w:bottom w:val="single" w:sz="2" w:space="0" w:color="000000"/>
          </w:tcBorders>
          <w:shd w:color="auto" w:fill="auto" w:val="clear"/>
        </w:tcPr>
        <w:p>
          <w:pPr>
            <w:pStyle w:val="Normal"/>
            <w:widowControl w:val="false"/>
            <w:jc w:val="center"/>
            <w:rPr/>
          </w:pPr>
          <w:r>
            <w:rPr/>
            <w:drawing>
              <wp:inline distT="0" distB="0" distL="0" distR="0">
                <wp:extent cx="621665" cy="687705"/>
                <wp:effectExtent l="0" t="0" r="0" b="0"/>
                <wp:docPr id="1" name="Grafik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2" descr=""/>
                        <pic:cNvPicPr>
                          <a:picLocks noChangeAspect="1" noChangeArrowheads="1"/>
                        </pic:cNvPicPr>
                      </pic:nvPicPr>
                      <pic:blipFill>
                        <a:blip r:embed="rId1"/>
                        <a:stretch>
                          <a:fillRect/>
                        </a:stretch>
                      </pic:blipFill>
                      <pic:spPr bwMode="auto">
                        <a:xfrm>
                          <a:off x="0" y="0"/>
                          <a:ext cx="621665" cy="687705"/>
                        </a:xfrm>
                        <a:prstGeom prst="rect">
                          <a:avLst/>
                        </a:prstGeom>
                      </pic:spPr>
                    </pic:pic>
                  </a:graphicData>
                </a:graphic>
              </wp:inline>
            </w:drawing>
          </w:r>
          <w:r>
            <w:rPr/>
            <w:t xml:space="preserve"> </w:t>
          </w:r>
        </w:p>
      </w:tc>
      <w:tc>
        <w:tcPr>
          <w:tcW w:w="1276" w:type="dxa"/>
          <w:tcBorders>
            <w:bottom w:val="single" w:sz="2" w:space="0" w:color="000000"/>
          </w:tcBorders>
          <w:shd w:color="auto" w:fill="auto" w:val="clear"/>
        </w:tcPr>
        <w:p>
          <w:pPr>
            <w:pStyle w:val="Normal"/>
            <w:widowControl w:val="false"/>
            <w:jc w:val="center"/>
            <w:rPr/>
          </w:pPr>
          <w:r>
            <w:rPr/>
            <w:t xml:space="preserve"> </w:t>
          </w:r>
          <w:r>
            <w:rPr/>
            <w:drawing>
              <wp:inline distT="0" distB="0" distL="0" distR="0">
                <wp:extent cx="614680" cy="680085"/>
                <wp:effectExtent l="0" t="0" r="0" b="0"/>
                <wp:docPr id="2" name="Grafik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1" descr=""/>
                        <pic:cNvPicPr>
                          <a:picLocks noChangeAspect="1" noChangeArrowheads="1"/>
                        </pic:cNvPicPr>
                      </pic:nvPicPr>
                      <pic:blipFill>
                        <a:blip r:embed="rId2"/>
                        <a:stretch>
                          <a:fillRect/>
                        </a:stretch>
                      </pic:blipFill>
                      <pic:spPr bwMode="auto">
                        <a:xfrm>
                          <a:off x="0" y="0"/>
                          <a:ext cx="614680" cy="680085"/>
                        </a:xfrm>
                        <a:prstGeom prst="rect">
                          <a:avLst/>
                        </a:prstGeom>
                      </pic:spPr>
                    </pic:pic>
                  </a:graphicData>
                </a:graphic>
              </wp:inline>
            </w:drawing>
          </w:r>
        </w:p>
        <w:p>
          <w:pPr>
            <w:pStyle w:val="Normal"/>
            <w:widowControl w:val="false"/>
            <w:jc w:val="center"/>
            <w:rPr/>
          </w:pPr>
          <w:r>
            <w:rPr/>
          </w:r>
        </w:p>
      </w:tc>
      <w:tc>
        <w:tcPr>
          <w:tcW w:w="3543" w:type="dxa"/>
          <w:tcBorders>
            <w:bottom w:val="single" w:sz="2" w:space="0" w:color="000000"/>
          </w:tcBorders>
          <w:shd w:color="auto" w:fill="auto" w:val="clear"/>
        </w:tcPr>
        <w:p>
          <w:pPr>
            <w:pStyle w:val="Normal"/>
            <w:widowControl w:val="false"/>
            <w:jc w:val="center"/>
            <w:rPr>
              <w:lang w:val="it-IT"/>
            </w:rPr>
          </w:pPr>
          <w:r>
            <w:rPr>
              <w:lang w:val="it-IT"/>
            </w:rPr>
          </w:r>
        </w:p>
        <w:p>
          <w:pPr>
            <w:pStyle w:val="Normal"/>
            <w:widowControl w:val="false"/>
            <w:jc w:val="center"/>
            <w:rPr>
              <w:b/>
              <w:b/>
              <w:lang w:val="it-IT"/>
            </w:rPr>
          </w:pPr>
          <w:r>
            <w:rPr>
              <w:b/>
              <w:lang w:val="it-IT"/>
            </w:rPr>
            <w:t>Comune</w:t>
          </w:r>
        </w:p>
        <w:p>
          <w:pPr>
            <w:pStyle w:val="Normal"/>
            <w:widowControl w:val="false"/>
            <w:jc w:val="center"/>
            <w:rPr>
              <w:b/>
              <w:b/>
              <w:lang w:val="it-IT"/>
            </w:rPr>
          </w:pPr>
          <w:r>
            <w:rPr>
              <w:b/>
              <w:lang w:val="it-IT"/>
            </w:rPr>
            <w:t>di Senale - San Felice</w:t>
          </w:r>
        </w:p>
        <w:p>
          <w:pPr>
            <w:pStyle w:val="Normal"/>
            <w:widowControl w:val="false"/>
            <w:jc w:val="center"/>
            <w:rPr>
              <w:lang w:val="it-IT"/>
            </w:rPr>
          </w:pPr>
          <w:r>
            <w:rPr>
              <w:lang w:val="it-IT"/>
            </w:rPr>
          </w:r>
        </w:p>
        <w:p>
          <w:pPr>
            <w:pStyle w:val="Normal"/>
            <w:widowControl w:val="false"/>
            <w:jc w:val="center"/>
            <w:rPr>
              <w:sz w:val="16"/>
              <w:lang w:val="it-IT"/>
            </w:rPr>
          </w:pPr>
          <w:r>
            <w:rPr>
              <w:sz w:val="16"/>
              <w:lang w:val="it-IT"/>
            </w:rPr>
            <w:t>Provincia Autonoma di Bolzano - Alto Adige</w:t>
          </w:r>
        </w:p>
      </w:tc>
    </w:tr>
    <w:tr>
      <w:trPr>
        <w:cantSplit w:val="true"/>
      </w:trPr>
      <w:tc>
        <w:tcPr>
          <w:tcW w:w="3544" w:type="dxa"/>
          <w:gridSpan w:val="2"/>
          <w:tcBorders>
            <w:top w:val="single" w:sz="2" w:space="0" w:color="000000"/>
            <w:bottom w:val="single" w:sz="2" w:space="0" w:color="000000"/>
          </w:tcBorders>
          <w:shd w:color="auto" w:fill="auto" w:val="clear"/>
        </w:tcPr>
        <w:p>
          <w:pPr>
            <w:pStyle w:val="Kopfzeile"/>
            <w:widowControl w:val="false"/>
            <w:jc w:val="right"/>
            <w:rPr>
              <w:sz w:val="16"/>
              <w:lang w:val="it-IT"/>
            </w:rPr>
          </w:pPr>
          <w:r>
            <w:rPr>
              <w:sz w:val="16"/>
              <w:lang w:val="it-IT"/>
            </w:rPr>
            <w:t>Steuerkodex - Codice Fiscale 82007070210</w:t>
          </w:r>
        </w:p>
      </w:tc>
      <w:tc>
        <w:tcPr>
          <w:tcW w:w="2551" w:type="dxa"/>
          <w:gridSpan w:val="2"/>
          <w:tcBorders>
            <w:top w:val="single" w:sz="2" w:space="0" w:color="000000"/>
            <w:bottom w:val="single" w:sz="2" w:space="0" w:color="000000"/>
          </w:tcBorders>
          <w:shd w:color="auto" w:fill="auto" w:val="clear"/>
        </w:tcPr>
        <w:p>
          <w:pPr>
            <w:pStyle w:val="Kopfzeile"/>
            <w:widowControl w:val="false"/>
            <w:jc w:val="center"/>
            <w:rPr>
              <w:sz w:val="16"/>
              <w:lang w:val="it-IT"/>
            </w:rPr>
          </w:pPr>
          <w:r>
            <w:rPr>
              <w:sz w:val="16"/>
              <w:lang w:val="it-IT"/>
            </w:rPr>
            <w:t>P.L.Z: 39010 C.A.P.</w:t>
          </w:r>
        </w:p>
      </w:tc>
      <w:tc>
        <w:tcPr>
          <w:tcW w:w="3543" w:type="dxa"/>
          <w:tcBorders>
            <w:top w:val="single" w:sz="2" w:space="0" w:color="000000"/>
            <w:bottom w:val="single" w:sz="2" w:space="0" w:color="000000"/>
          </w:tcBorders>
          <w:shd w:color="auto" w:fill="auto" w:val="clear"/>
        </w:tcPr>
        <w:p>
          <w:pPr>
            <w:pStyle w:val="Kopfzeile"/>
            <w:widowControl w:val="false"/>
            <w:rPr>
              <w:sz w:val="16"/>
            </w:rPr>
          </w:pPr>
          <w:r>
            <w:rPr>
              <w:sz w:val="16"/>
            </w:rPr>
            <w:t>(04 63) 88 61 03 - Fax (04 63) 88 63 33</w:t>
          </w:r>
        </w:p>
      </w:tc>
    </w:tr>
  </w:tbl>
  <w:p>
    <w:pPr>
      <w:pStyle w:val="Kopfzeile"/>
      <w:tabs>
        <w:tab w:val="clear" w:pos="4536"/>
        <w:tab w:val="clear" w:pos="9072"/>
      </w:tabs>
      <w:spacing w:lineRule="exact" w:line="140"/>
      <w:rPr>
        <w:sz w:val="18"/>
        <w:lang w:val="it-IT"/>
      </w:rPr>
    </w:pPr>
    <w:r>
      <w:rPr>
        <w:sz w:val="18"/>
        <w:lang w:val="it-IT"/>
      </w:rPr>
    </w:r>
  </w:p>
  <w:p>
    <w:pPr>
      <w:pStyle w:val="Kopfzeile"/>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decimal"/>
      <w:lvlText w:val="%1."/>
      <w:lvlJc w:val="left"/>
      <w:pPr>
        <w:tabs>
          <w:tab w:val="num" w:pos="720"/>
        </w:tabs>
        <w:ind w:left="720" w:hanging="360"/>
      </w:pPr>
      <w:rPr>
        <w:sz w:val="20"/>
        <w:szCs w:val="20"/>
        <w:rFonts w:ascii="Arial"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de-DE"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de-DE" w:eastAsia="de-DE" w:bidi="ar-SA"/>
      </w:rPr>
    </w:rPrDefault>
    <w:pPrDefault>
      <w:pPr>
        <w:suppressAutoHyphens w:val="true"/>
      </w:pPr>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sdException w:name="Smart Link Error" w:uiPriority="99" w:semiHidden="1" w:unhideWhenUsed="1"/>
  </w:latentStyles>
  <w:style w:type="paragraph" w:styleId="Normal" w:default="1">
    <w:name w:val="Normal"/>
    <w:qFormat/>
    <w:pPr>
      <w:widowControl/>
      <w:bidi w:val="0"/>
      <w:spacing w:before="0" w:after="0"/>
      <w:jc w:val="left"/>
    </w:pPr>
    <w:rPr>
      <w:rFonts w:ascii="Times New Roman" w:hAnsi="Times New Roman" w:eastAsia="Times New Roman" w:cs="Times New Roman"/>
      <w:color w:val="auto"/>
      <w:kern w:val="0"/>
      <w:sz w:val="24"/>
      <w:szCs w:val="24"/>
      <w:lang w:val="de-DE" w:eastAsia="de-DE" w:bidi="ar-SA"/>
    </w:rPr>
  </w:style>
  <w:style w:type="character" w:styleId="DefaultParagraphFont" w:default="1">
    <w:name w:val="Default Paragraph Font"/>
    <w:uiPriority w:val="1"/>
    <w:semiHidden/>
    <w:unhideWhenUsed/>
    <w:qFormat/>
    <w:rPr/>
  </w:style>
  <w:style w:type="character" w:styleId="KopfzeileZchn" w:customStyle="1">
    <w:name w:val="Kopfzeile Zchn"/>
    <w:basedOn w:val="DefaultParagraphFont"/>
    <w:link w:val="Kopfzeile"/>
    <w:qFormat/>
    <w:rsid w:val="00eb58ce"/>
    <w:rPr>
      <w:sz w:val="24"/>
      <w:szCs w:val="24"/>
    </w:rPr>
  </w:style>
  <w:style w:type="character" w:styleId="FuzeileZchn" w:customStyle="1">
    <w:name w:val="Fußzeile Zchn"/>
    <w:basedOn w:val="DefaultParagraphFont"/>
    <w:link w:val="Fuzeile"/>
    <w:qFormat/>
    <w:rsid w:val="00eb58ce"/>
    <w:rPr>
      <w:sz w:val="24"/>
      <w:szCs w:val="24"/>
    </w:rPr>
  </w:style>
  <w:style w:type="character" w:styleId="Internetverknpfung">
    <w:name w:val="Internetverknüpfung"/>
    <w:basedOn w:val="DefaultParagraphFont"/>
    <w:rsid w:val="007764a5"/>
    <w:rPr>
      <w:color w:val="0563C1" w:themeColor="hyperlink"/>
      <w:u w:val="single"/>
    </w:rPr>
  </w:style>
  <w:style w:type="character" w:styleId="UnresolvedMention">
    <w:name w:val="Unresolved Mention"/>
    <w:basedOn w:val="DefaultParagraphFont"/>
    <w:uiPriority w:val="99"/>
    <w:semiHidden/>
    <w:unhideWhenUsed/>
    <w:qFormat/>
    <w:rsid w:val="007764a5"/>
    <w:rPr>
      <w:color w:val="605E5C"/>
      <w:shd w:fill="E1DFDD" w:val="clear"/>
    </w:rPr>
  </w:style>
  <w:style w:type="paragraph" w:styleId="Berschrift">
    <w:name w:val="Überschrift"/>
    <w:basedOn w:val="Normal"/>
    <w:next w:val="Textkrper"/>
    <w:qFormat/>
    <w:pPr>
      <w:keepNext w:val="true"/>
      <w:spacing w:before="240" w:after="120"/>
    </w:pPr>
    <w:rPr>
      <w:rFonts w:ascii="Liberation Sans" w:hAnsi="Liberation Sans" w:eastAsia="Microsoft YaHei" w:cs="Arial"/>
      <w:sz w:val="28"/>
      <w:szCs w:val="28"/>
    </w:rPr>
  </w:style>
  <w:style w:type="paragraph" w:styleId="Textkrper">
    <w:name w:val="Body Text"/>
    <w:basedOn w:val="Normal"/>
    <w:pPr>
      <w:spacing w:lineRule="auto" w:line="276" w:before="0" w:after="140"/>
    </w:pPr>
    <w:rPr/>
  </w:style>
  <w:style w:type="paragraph" w:styleId="Aufzhlung">
    <w:name w:val="List"/>
    <w:basedOn w:val="Textkrper"/>
    <w:pPr/>
    <w:rPr>
      <w:rFonts w:cs="Arial"/>
    </w:rPr>
  </w:style>
  <w:style w:type="paragraph" w:styleId="Beschriftung">
    <w:name w:val="Caption"/>
    <w:basedOn w:val="Normal"/>
    <w:qFormat/>
    <w:pPr>
      <w:suppressLineNumbers/>
      <w:spacing w:before="120" w:after="120"/>
    </w:pPr>
    <w:rPr>
      <w:rFonts w:cs="Arial"/>
      <w:i/>
      <w:iCs/>
      <w:sz w:val="24"/>
      <w:szCs w:val="24"/>
    </w:rPr>
  </w:style>
  <w:style w:type="paragraph" w:styleId="Verzeichnis">
    <w:name w:val="Verzeichnis"/>
    <w:basedOn w:val="Normal"/>
    <w:qFormat/>
    <w:pPr>
      <w:suppressLineNumbers/>
    </w:pPr>
    <w:rPr>
      <w:rFonts w:cs="Arial"/>
    </w:rPr>
  </w:style>
  <w:style w:type="paragraph" w:styleId="Western" w:customStyle="1">
    <w:name w:val="western"/>
    <w:basedOn w:val="Normal"/>
    <w:qFormat/>
    <w:rsid w:val="00963bc8"/>
    <w:pPr>
      <w:spacing w:lineRule="auto" w:line="276" w:beforeAutospacing="1" w:after="142"/>
    </w:pPr>
    <w:rPr>
      <w:color w:val="000000"/>
    </w:rPr>
  </w:style>
  <w:style w:type="paragraph" w:styleId="NormalWeb">
    <w:name w:val="Normal (Web)"/>
    <w:basedOn w:val="Normal"/>
    <w:uiPriority w:val="99"/>
    <w:unhideWhenUsed/>
    <w:qFormat/>
    <w:rsid w:val="0004421f"/>
    <w:pPr>
      <w:spacing w:lineRule="auto" w:line="276" w:beforeAutospacing="1" w:after="142"/>
    </w:pPr>
    <w:rPr>
      <w:color w:val="000000"/>
    </w:rPr>
  </w:style>
  <w:style w:type="paragraph" w:styleId="KopfundFuzeile">
    <w:name w:val="Kopf- und Fußzeile"/>
    <w:basedOn w:val="Normal"/>
    <w:qFormat/>
    <w:pPr/>
    <w:rPr/>
  </w:style>
  <w:style w:type="paragraph" w:styleId="Kopfzeile">
    <w:name w:val="Header"/>
    <w:basedOn w:val="Normal"/>
    <w:link w:val="KopfzeileZchn"/>
    <w:rsid w:val="00eb58ce"/>
    <w:pPr>
      <w:tabs>
        <w:tab w:val="clear" w:pos="708"/>
        <w:tab w:val="center" w:pos="4536" w:leader="none"/>
        <w:tab w:val="right" w:pos="9072" w:leader="none"/>
      </w:tabs>
    </w:pPr>
    <w:rPr/>
  </w:style>
  <w:style w:type="paragraph" w:styleId="Fuzeile">
    <w:name w:val="Footer"/>
    <w:basedOn w:val="Normal"/>
    <w:link w:val="FuzeileZchn"/>
    <w:rsid w:val="00eb58ce"/>
    <w:pPr>
      <w:tabs>
        <w:tab w:val="clear" w:pos="708"/>
        <w:tab w:val="center" w:pos="4536" w:leader="none"/>
        <w:tab w:val="right" w:pos="9072" w:leader="none"/>
      </w:tabs>
    </w:pPr>
    <w:rPr/>
  </w:style>
  <w:style w:type="paragraph" w:styleId="Carattere5CharCarattereCharCarattereCharCarattereCharCarattereCharCarattereCharCarattereCharCarattereChar" w:customStyle="1">
    <w:name w:val="Carattere5 Char Carattere Char Carattere Char Carattere Char Carattere Char Carattere Char Carattere Char Carattere Char"/>
    <w:basedOn w:val="Normal"/>
    <w:qFormat/>
    <w:rsid w:val="00eb58ce"/>
    <w:pPr>
      <w:spacing w:lineRule="exact" w:line="240" w:before="0" w:after="160"/>
    </w:pPr>
    <w:rPr>
      <w:rFonts w:ascii="Tahoma" w:hAnsi="Tahoma" w:cs="Tahoma"/>
      <w:sz w:val="20"/>
      <w:szCs w:val="20"/>
      <w:lang w:val="en-US" w:eastAsia="en-US"/>
    </w:rPr>
  </w:style>
  <w:style w:type="numbering" w:styleId="NoList" w:default="1">
    <w:name w:val="No List"/>
    <w:uiPriority w:val="99"/>
    <w:semiHidden/>
    <w:unhideWhenUsed/>
    <w:qFormat/>
  </w:style>
  <w:style w:type="table" w:default="1" w:styleId="NormaleTabelle">
    <w:name w:val="Normal Table"/>
    <w:uiPriority w:val="99"/>
    <w:semiHidden/>
    <w:unhideWhenUsed/>
    <w:tblPr>
      <w:tblCellMar>
        <w:top w:w="0" w:type="dxa"/>
        <w:left w:w="108" w:type="dxa"/>
        <w:bottom w:w="0" w:type="dxa"/>
        <w:right w:w="108" w:type="dxa"/>
      </w:tblCellMar>
    </w:tblPr>
  </w:style>
  <w:style w:type="table" w:styleId="Tabellenraster">
    <w:name w:val="Table Grid"/>
    <w:basedOn w:val="NormaleTabelle"/>
    <w:rsid w:val="00963bc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fshare.gvcc.net/vi/bpfekojoqgbFirpA99yF/Anlagen_Fhrenhain.zip" TargetMode="External"/><Relationship Id="rId3" Type="http://schemas.openxmlformats.org/officeDocument/2006/relationships/header" Target="head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LibreOffice/7.1.1.2$Windows_X86_64 LibreOffice_project/fe0b08f4af1bacafe4c7ecc87ce55bb426164676</Application>
  <AppVersion>15.0000</AppVersion>
  <Pages>3</Pages>
  <Words>1013</Words>
  <Characters>6447</Characters>
  <CharactersWithSpaces>7385</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2021-07-21T06:36:00Z</dcterms:created>
  <dc:creator>Barbara Ladurner</dc:creator>
  <dc:description/>
  <dc:language>de-DE</dc:language>
  <cp:lastModifiedBy/>
  <cp:lastPrinted>2020-06-25T07:55:00Z</cp:lastPrinted>
  <dcterms:modified xsi:type="dcterms:W3CDTF">2021-08-13T09:59:06Z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